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ED" w:rsidRPr="001934C3" w:rsidRDefault="008619ED" w:rsidP="005706D0">
      <w:pPr>
        <w:ind w:right="43"/>
        <w:jc w:val="center"/>
        <w:rPr>
          <w:rFonts w:ascii="Arial" w:hAnsi="Arial" w:cs="Arial"/>
          <w:b/>
          <w:bCs/>
        </w:rPr>
      </w:pPr>
      <w:r w:rsidRPr="001934C3">
        <w:rPr>
          <w:rFonts w:ascii="Arial" w:hAnsi="Arial" w:cs="Arial"/>
          <w:b/>
          <w:bCs/>
        </w:rPr>
        <w:t>LĪGUMS Nr.</w:t>
      </w:r>
      <w:r w:rsidR="00D11CBC" w:rsidRPr="001934C3">
        <w:rPr>
          <w:rFonts w:ascii="Arial" w:hAnsi="Arial" w:cs="Arial"/>
          <w:b/>
          <w:bCs/>
        </w:rPr>
        <w:t xml:space="preserve"> 201</w:t>
      </w:r>
      <w:r w:rsidR="007E585D" w:rsidRPr="001934C3">
        <w:rPr>
          <w:rFonts w:ascii="Arial" w:hAnsi="Arial" w:cs="Arial"/>
          <w:b/>
          <w:bCs/>
        </w:rPr>
        <w:t>8</w:t>
      </w:r>
      <w:r w:rsidR="00D11CBC" w:rsidRPr="001934C3">
        <w:rPr>
          <w:rFonts w:ascii="Arial" w:hAnsi="Arial" w:cs="Arial"/>
          <w:b/>
          <w:bCs/>
        </w:rPr>
        <w:t>/9</w:t>
      </w:r>
      <w:r w:rsidR="001559F3" w:rsidRPr="001934C3">
        <w:rPr>
          <w:rFonts w:ascii="Arial" w:hAnsi="Arial" w:cs="Arial"/>
          <w:b/>
          <w:bCs/>
        </w:rPr>
        <w:t>.</w:t>
      </w:r>
      <w:r w:rsidR="00D11CBC" w:rsidRPr="001934C3">
        <w:rPr>
          <w:rFonts w:ascii="Arial" w:hAnsi="Arial" w:cs="Arial"/>
          <w:b/>
          <w:bCs/>
        </w:rPr>
        <w:t>9/</w:t>
      </w:r>
    </w:p>
    <w:p w:rsidR="008619ED" w:rsidRPr="001934C3" w:rsidRDefault="008619ED" w:rsidP="005706D0">
      <w:pPr>
        <w:ind w:right="43"/>
        <w:jc w:val="center"/>
        <w:rPr>
          <w:rFonts w:ascii="Arial" w:hAnsi="Arial" w:cs="Arial"/>
          <w:b/>
          <w:bCs/>
        </w:rPr>
      </w:pPr>
      <w:r w:rsidRPr="001934C3">
        <w:rPr>
          <w:rFonts w:ascii="Arial" w:hAnsi="Arial" w:cs="Arial"/>
          <w:b/>
          <w:bCs/>
        </w:rPr>
        <w:t>Atklātam konkursam nr. LLKC 201</w:t>
      </w:r>
      <w:r w:rsidR="007E585D" w:rsidRPr="001934C3">
        <w:rPr>
          <w:rFonts w:ascii="Arial" w:hAnsi="Arial" w:cs="Arial"/>
          <w:b/>
          <w:bCs/>
        </w:rPr>
        <w:t>8</w:t>
      </w:r>
      <w:r w:rsidRPr="001934C3">
        <w:rPr>
          <w:rFonts w:ascii="Arial" w:hAnsi="Arial" w:cs="Arial"/>
          <w:b/>
          <w:bCs/>
        </w:rPr>
        <w:t>/</w:t>
      </w:r>
      <w:r w:rsidR="007E585D" w:rsidRPr="001934C3">
        <w:rPr>
          <w:rFonts w:ascii="Arial" w:hAnsi="Arial" w:cs="Arial"/>
          <w:b/>
          <w:bCs/>
        </w:rPr>
        <w:t>1</w:t>
      </w:r>
    </w:p>
    <w:p w:rsidR="008619ED" w:rsidRPr="001934C3" w:rsidRDefault="008619ED" w:rsidP="005706D0">
      <w:pPr>
        <w:ind w:right="43"/>
        <w:jc w:val="center"/>
        <w:rPr>
          <w:rFonts w:ascii="Arial" w:hAnsi="Arial" w:cs="Arial"/>
        </w:rPr>
      </w:pPr>
      <w:r w:rsidRPr="001934C3">
        <w:rPr>
          <w:rFonts w:ascii="Arial" w:hAnsi="Arial" w:cs="Arial"/>
        </w:rPr>
        <w:t>„Autotransporta iegāde</w:t>
      </w:r>
      <w:r w:rsidR="00FF7935" w:rsidRPr="001934C3">
        <w:rPr>
          <w:rFonts w:ascii="Arial" w:hAnsi="Arial" w:cs="Arial"/>
        </w:rPr>
        <w:t xml:space="preserve"> operatīvajā līzingā</w:t>
      </w:r>
      <w:r w:rsidRPr="001934C3">
        <w:rPr>
          <w:rFonts w:ascii="Arial" w:hAnsi="Arial" w:cs="Arial"/>
        </w:rPr>
        <w:t>”</w:t>
      </w:r>
    </w:p>
    <w:p w:rsidR="008619ED" w:rsidRPr="001934C3" w:rsidRDefault="008619ED" w:rsidP="005706D0">
      <w:pPr>
        <w:ind w:right="43"/>
        <w:jc w:val="center"/>
        <w:rPr>
          <w:rFonts w:ascii="Arial" w:hAnsi="Arial" w:cs="Arial"/>
        </w:rPr>
      </w:pPr>
      <w:r w:rsidRPr="001934C3">
        <w:rPr>
          <w:rFonts w:ascii="Arial" w:hAnsi="Arial" w:cs="Arial"/>
        </w:rPr>
        <w:t>Ozolniekos, 201</w:t>
      </w:r>
      <w:r w:rsidR="007E585D" w:rsidRPr="001934C3">
        <w:rPr>
          <w:rFonts w:ascii="Arial" w:hAnsi="Arial" w:cs="Arial"/>
        </w:rPr>
        <w:t>8</w:t>
      </w:r>
      <w:r w:rsidRPr="001934C3">
        <w:rPr>
          <w:rFonts w:ascii="Arial" w:hAnsi="Arial" w:cs="Arial"/>
        </w:rPr>
        <w:t>.</w:t>
      </w:r>
      <w:r w:rsidR="003D1B46" w:rsidRPr="001934C3">
        <w:rPr>
          <w:rFonts w:ascii="Arial" w:hAnsi="Arial" w:cs="Arial"/>
        </w:rPr>
        <w:t xml:space="preserve"> </w:t>
      </w:r>
      <w:r w:rsidRPr="001934C3">
        <w:rPr>
          <w:rFonts w:ascii="Arial" w:hAnsi="Arial" w:cs="Arial"/>
        </w:rPr>
        <w:t xml:space="preserve">gada </w:t>
      </w:r>
      <w:r w:rsidR="00FF7935" w:rsidRPr="001934C3">
        <w:rPr>
          <w:rFonts w:ascii="Arial" w:hAnsi="Arial" w:cs="Arial"/>
        </w:rPr>
        <w:t xml:space="preserve"> </w:t>
      </w:r>
      <w:r w:rsidR="007E585D" w:rsidRPr="001934C3">
        <w:rPr>
          <w:rFonts w:ascii="Arial" w:hAnsi="Arial" w:cs="Arial"/>
        </w:rPr>
        <w:t>25.septembrī</w:t>
      </w:r>
    </w:p>
    <w:p w:rsidR="008619ED" w:rsidRPr="001934C3" w:rsidRDefault="008619ED" w:rsidP="005706D0">
      <w:pPr>
        <w:ind w:right="43"/>
        <w:jc w:val="both"/>
        <w:rPr>
          <w:rFonts w:ascii="Arial" w:hAnsi="Arial" w:cs="Arial"/>
        </w:rPr>
      </w:pPr>
      <w:r w:rsidRPr="001934C3">
        <w:rPr>
          <w:rFonts w:ascii="Arial" w:hAnsi="Arial" w:cs="Arial"/>
        </w:rPr>
        <w:tab/>
      </w:r>
      <w:r w:rsidRPr="001934C3">
        <w:rPr>
          <w:rFonts w:ascii="Arial" w:hAnsi="Arial" w:cs="Arial"/>
        </w:rPr>
        <w:tab/>
      </w:r>
      <w:r w:rsidRPr="001934C3">
        <w:rPr>
          <w:rFonts w:ascii="Arial" w:hAnsi="Arial" w:cs="Arial"/>
        </w:rPr>
        <w:tab/>
      </w:r>
    </w:p>
    <w:p w:rsidR="00D11CBC" w:rsidRPr="001934C3" w:rsidRDefault="008619ED" w:rsidP="005706D0">
      <w:pPr>
        <w:pStyle w:val="BodyText2"/>
        <w:spacing w:line="240" w:lineRule="auto"/>
        <w:ind w:right="43" w:firstLine="539"/>
        <w:jc w:val="both"/>
        <w:rPr>
          <w:rFonts w:ascii="Arial" w:hAnsi="Arial" w:cs="Arial"/>
          <w:iCs/>
        </w:rPr>
      </w:pPr>
      <w:r w:rsidRPr="001934C3">
        <w:rPr>
          <w:rFonts w:ascii="Arial" w:hAnsi="Arial" w:cs="Arial"/>
          <w:b/>
          <w:bCs/>
          <w:iCs/>
        </w:rPr>
        <w:t>SIA “Latvijas Lauku konsultāciju un izglītības centrs”</w:t>
      </w:r>
      <w:r w:rsidRPr="001934C3">
        <w:rPr>
          <w:rFonts w:ascii="Arial" w:hAnsi="Arial" w:cs="Arial"/>
          <w:iCs/>
        </w:rPr>
        <w:t xml:space="preserve"> (turpmāk - “Pasūtītājs”), reģistrācijas Nr. 40003347699, juridiskā adrese: Rīgas iela 34, Ozolnieki, Ozolnieku pagasts, Ozolnieku novads, tās valdes </w:t>
      </w:r>
      <w:r w:rsidR="00A377FC" w:rsidRPr="001934C3">
        <w:rPr>
          <w:rFonts w:ascii="Arial" w:hAnsi="Arial" w:cs="Arial"/>
          <w:iCs/>
        </w:rPr>
        <w:t>priekšsēdētāja Mārtiņa Cimermaņa</w:t>
      </w:r>
      <w:r w:rsidRPr="001934C3">
        <w:rPr>
          <w:rFonts w:ascii="Arial" w:hAnsi="Arial" w:cs="Arial"/>
          <w:iCs/>
        </w:rPr>
        <w:t xml:space="preserve"> personā no vienas puses,</w:t>
      </w:r>
    </w:p>
    <w:p w:rsidR="008619ED" w:rsidRPr="001934C3" w:rsidRDefault="003D1B46" w:rsidP="005706D0">
      <w:pPr>
        <w:pStyle w:val="BodyText2"/>
        <w:spacing w:line="240" w:lineRule="auto"/>
        <w:ind w:right="43" w:firstLine="539"/>
        <w:jc w:val="both"/>
        <w:rPr>
          <w:rFonts w:ascii="Arial" w:hAnsi="Arial" w:cs="Arial"/>
          <w:iCs/>
        </w:rPr>
      </w:pPr>
      <w:r w:rsidRPr="001934C3">
        <w:rPr>
          <w:rFonts w:ascii="Arial" w:hAnsi="Arial" w:cs="Arial"/>
          <w:b/>
          <w:iCs/>
        </w:rPr>
        <w:t>SIA „</w:t>
      </w:r>
      <w:r w:rsidR="00113A69" w:rsidRPr="001934C3">
        <w:rPr>
          <w:rFonts w:ascii="Arial" w:hAnsi="Arial" w:cs="Arial"/>
          <w:b/>
          <w:iCs/>
        </w:rPr>
        <w:t>Autobrava</w:t>
      </w:r>
      <w:r w:rsidRPr="001934C3">
        <w:rPr>
          <w:rFonts w:ascii="Arial" w:hAnsi="Arial" w:cs="Arial"/>
          <w:b/>
          <w:iCs/>
        </w:rPr>
        <w:t>”</w:t>
      </w:r>
      <w:r w:rsidR="008619ED" w:rsidRPr="001934C3">
        <w:rPr>
          <w:rFonts w:ascii="Arial" w:hAnsi="Arial" w:cs="Arial"/>
          <w:iCs/>
        </w:rPr>
        <w:t xml:space="preserve"> reģistrācijas Nr.</w:t>
      </w:r>
      <w:r w:rsidR="00113A69" w:rsidRPr="001934C3">
        <w:rPr>
          <w:rFonts w:ascii="Arial" w:hAnsi="Arial" w:cs="Arial"/>
          <w:iCs/>
        </w:rPr>
        <w:t>40103325594</w:t>
      </w:r>
      <w:r w:rsidR="008619ED" w:rsidRPr="001934C3">
        <w:rPr>
          <w:rFonts w:ascii="Arial" w:hAnsi="Arial" w:cs="Arial"/>
          <w:iCs/>
        </w:rPr>
        <w:t>, juridiskā adrese:</w:t>
      </w:r>
      <w:r w:rsidR="00F87277" w:rsidRPr="001934C3">
        <w:rPr>
          <w:rFonts w:ascii="Arial" w:hAnsi="Arial" w:cs="Arial"/>
          <w:iCs/>
        </w:rPr>
        <w:t xml:space="preserve"> </w:t>
      </w:r>
      <w:r w:rsidR="00113A69" w:rsidRPr="001934C3">
        <w:rPr>
          <w:rFonts w:ascii="Arial" w:hAnsi="Arial" w:cs="Arial"/>
          <w:iCs/>
        </w:rPr>
        <w:t>Biķernieku iela 145, Rīga</w:t>
      </w:r>
      <w:r w:rsidR="008619ED" w:rsidRPr="001934C3">
        <w:rPr>
          <w:rFonts w:ascii="Arial" w:hAnsi="Arial" w:cs="Arial"/>
          <w:iCs/>
        </w:rPr>
        <w:t xml:space="preserve">, tās </w:t>
      </w:r>
      <w:r w:rsidR="00113A69" w:rsidRPr="001934C3">
        <w:rPr>
          <w:rFonts w:ascii="Arial" w:hAnsi="Arial" w:cs="Arial"/>
          <w:iCs/>
        </w:rPr>
        <w:t>valdes locek</w:t>
      </w:r>
      <w:r w:rsidR="00222A96">
        <w:rPr>
          <w:rFonts w:ascii="Arial" w:hAnsi="Arial" w:cs="Arial"/>
          <w:iCs/>
        </w:rPr>
        <w:t>les</w:t>
      </w:r>
      <w:r w:rsidR="00113A69" w:rsidRPr="001934C3">
        <w:rPr>
          <w:rFonts w:ascii="Arial" w:hAnsi="Arial" w:cs="Arial"/>
          <w:iCs/>
        </w:rPr>
        <w:t xml:space="preserve"> </w:t>
      </w:r>
      <w:r w:rsidR="00222A96" w:rsidRPr="00222A96">
        <w:rPr>
          <w:rFonts w:ascii="Arial" w:hAnsi="Arial" w:cs="Arial"/>
        </w:rPr>
        <w:t>Guntas Gorbačovas</w:t>
      </w:r>
      <w:r w:rsidR="00222A96">
        <w:t xml:space="preserve"> </w:t>
      </w:r>
      <w:r w:rsidR="008619ED" w:rsidRPr="001934C3">
        <w:rPr>
          <w:rFonts w:ascii="Arial" w:hAnsi="Arial" w:cs="Arial"/>
          <w:iCs/>
        </w:rPr>
        <w:t>personā (turpmāk – „Izpildītājs”) no otras puses, turpmāk kopīgi saukti “PUSES” noslēdz līgumu (turpmāk tekstā - LĪGUMU) par sekojošo:</w:t>
      </w:r>
    </w:p>
    <w:p w:rsidR="00E36B88" w:rsidRPr="001934C3" w:rsidRDefault="00E36B88" w:rsidP="005706D0">
      <w:pPr>
        <w:pStyle w:val="txt1"/>
        <w:ind w:right="43"/>
        <w:rPr>
          <w:rFonts w:ascii="Arial" w:hAnsi="Arial" w:cs="Arial"/>
          <w:color w:val="auto"/>
          <w:lang w:val="lv-LV"/>
        </w:rPr>
      </w:pPr>
    </w:p>
    <w:p w:rsidR="00E36B88" w:rsidRPr="001934C3" w:rsidRDefault="00E36B88" w:rsidP="005706D0">
      <w:pPr>
        <w:numPr>
          <w:ilvl w:val="0"/>
          <w:numId w:val="2"/>
        </w:numPr>
        <w:ind w:right="43"/>
        <w:jc w:val="center"/>
        <w:rPr>
          <w:rFonts w:ascii="Arial" w:hAnsi="Arial" w:cs="Arial"/>
          <w:b/>
        </w:rPr>
      </w:pPr>
      <w:bookmarkStart w:id="0" w:name="_Toc48377881"/>
      <w:bookmarkStart w:id="1" w:name="_Toc87150429"/>
      <w:bookmarkStart w:id="2" w:name="_Toc87150913"/>
      <w:bookmarkStart w:id="3" w:name="_Toc87153282"/>
      <w:bookmarkStart w:id="4" w:name="_Toc87851213"/>
      <w:bookmarkStart w:id="5" w:name="_Toc87947349"/>
      <w:bookmarkStart w:id="6" w:name="_Toc87947370"/>
      <w:r w:rsidRPr="001934C3">
        <w:rPr>
          <w:rFonts w:ascii="Arial" w:hAnsi="Arial" w:cs="Arial"/>
          <w:b/>
        </w:rPr>
        <w:t>Līguma priekšmet</w:t>
      </w:r>
      <w:bookmarkEnd w:id="0"/>
      <w:r w:rsidRPr="001934C3">
        <w:rPr>
          <w:rFonts w:ascii="Arial" w:hAnsi="Arial" w:cs="Arial"/>
          <w:b/>
        </w:rPr>
        <w:t>s</w:t>
      </w:r>
      <w:bookmarkEnd w:id="1"/>
      <w:bookmarkEnd w:id="2"/>
      <w:bookmarkEnd w:id="3"/>
      <w:bookmarkEnd w:id="4"/>
      <w:bookmarkEnd w:id="5"/>
      <w:bookmarkEnd w:id="6"/>
    </w:p>
    <w:p w:rsidR="00E36B88" w:rsidRPr="001934C3" w:rsidRDefault="00E36B88" w:rsidP="005706D0">
      <w:pPr>
        <w:ind w:left="360" w:right="43"/>
        <w:rPr>
          <w:rFonts w:ascii="Arial" w:hAnsi="Arial" w:cs="Arial"/>
          <w:b/>
        </w:rPr>
      </w:pPr>
    </w:p>
    <w:p w:rsidR="008014DF" w:rsidRPr="001934C3" w:rsidRDefault="008619ED"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P</w:t>
      </w:r>
      <w:r w:rsidR="003D1B46" w:rsidRPr="001934C3">
        <w:rPr>
          <w:rFonts w:ascii="Arial" w:hAnsi="Arial" w:cs="Arial"/>
        </w:rPr>
        <w:t xml:space="preserve">asūtītājs pasūta </w:t>
      </w:r>
      <w:r w:rsidR="00E36B88" w:rsidRPr="001934C3">
        <w:rPr>
          <w:rFonts w:ascii="Arial" w:hAnsi="Arial" w:cs="Arial"/>
        </w:rPr>
        <w:t xml:space="preserve">un Izpildītājs apņemas veikt </w:t>
      </w:r>
      <w:r w:rsidR="008014DF" w:rsidRPr="001934C3">
        <w:rPr>
          <w:rFonts w:ascii="Arial" w:hAnsi="Arial" w:cs="Arial"/>
        </w:rPr>
        <w:t xml:space="preserve">sekojoša </w:t>
      </w:r>
      <w:r w:rsidR="00E36B88" w:rsidRPr="001934C3">
        <w:rPr>
          <w:rFonts w:ascii="Arial" w:hAnsi="Arial" w:cs="Arial"/>
        </w:rPr>
        <w:t>au</w:t>
      </w:r>
      <w:r w:rsidRPr="001934C3">
        <w:rPr>
          <w:rFonts w:ascii="Arial" w:hAnsi="Arial" w:cs="Arial"/>
        </w:rPr>
        <w:t>t</w:t>
      </w:r>
      <w:r w:rsidR="00E36B88" w:rsidRPr="001934C3">
        <w:rPr>
          <w:rFonts w:ascii="Arial" w:hAnsi="Arial" w:cs="Arial"/>
        </w:rPr>
        <w:t xml:space="preserve">otransporta </w:t>
      </w:r>
      <w:r w:rsidR="008014DF" w:rsidRPr="001934C3">
        <w:rPr>
          <w:rFonts w:ascii="Arial" w:hAnsi="Arial" w:cs="Arial"/>
        </w:rPr>
        <w:t>(turpmāk tekstā – Prece) piegādi un garantijas apkalpošanu saskaņā ar Tehnisko specifikāciju - tehnisko piedāvājumu (1. Pielikums) un Izpildītāja Finanšu piedāvājumu (2. Pielikums):</w:t>
      </w:r>
    </w:p>
    <w:p w:rsidR="00246CD4" w:rsidRPr="001934C3" w:rsidRDefault="00113A69" w:rsidP="005706D0">
      <w:pPr>
        <w:numPr>
          <w:ilvl w:val="2"/>
          <w:numId w:val="2"/>
        </w:numPr>
        <w:ind w:right="43"/>
        <w:jc w:val="both"/>
        <w:rPr>
          <w:rFonts w:ascii="Arial" w:hAnsi="Arial" w:cs="Arial"/>
        </w:rPr>
      </w:pPr>
      <w:r w:rsidRPr="001934C3">
        <w:rPr>
          <w:rFonts w:ascii="Arial" w:hAnsi="Arial" w:cs="Arial"/>
          <w:i/>
        </w:rPr>
        <w:t>1</w:t>
      </w:r>
      <w:r w:rsidR="0020638A" w:rsidRPr="001934C3">
        <w:rPr>
          <w:rFonts w:ascii="Arial" w:hAnsi="Arial" w:cs="Arial"/>
          <w:i/>
        </w:rPr>
        <w:t>(</w:t>
      </w:r>
      <w:r w:rsidRPr="001934C3">
        <w:rPr>
          <w:rFonts w:ascii="Arial" w:hAnsi="Arial" w:cs="Arial"/>
          <w:i/>
        </w:rPr>
        <w:t>vienu</w:t>
      </w:r>
      <w:r w:rsidR="0020638A" w:rsidRPr="001934C3">
        <w:rPr>
          <w:rFonts w:ascii="Arial" w:hAnsi="Arial" w:cs="Arial"/>
          <w:i/>
        </w:rPr>
        <w:t xml:space="preserve">) </w:t>
      </w:r>
      <w:r w:rsidRPr="001934C3">
        <w:rPr>
          <w:rFonts w:ascii="Arial" w:hAnsi="Arial" w:cs="Arial"/>
          <w:i/>
        </w:rPr>
        <w:t>Suzuki Vitara</w:t>
      </w:r>
      <w:r w:rsidR="00246CD4" w:rsidRPr="001934C3">
        <w:rPr>
          <w:rFonts w:ascii="Arial" w:hAnsi="Arial" w:cs="Arial"/>
          <w:i/>
        </w:rPr>
        <w:t>.</w:t>
      </w: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7" w:name="_Toc48377882"/>
      <w:bookmarkStart w:id="8" w:name="_Toc87150430"/>
      <w:bookmarkStart w:id="9" w:name="_Toc87150914"/>
      <w:bookmarkStart w:id="10" w:name="_Toc87153283"/>
      <w:bookmarkStart w:id="11" w:name="_Toc87851214"/>
      <w:bookmarkStart w:id="12" w:name="_Toc87947350"/>
      <w:bookmarkStart w:id="13" w:name="_Toc87947371"/>
      <w:r w:rsidRPr="001934C3">
        <w:rPr>
          <w:rFonts w:ascii="Arial" w:hAnsi="Arial" w:cs="Arial"/>
          <w:b/>
        </w:rPr>
        <w:t>Pasūtījuma kvalitāte un apjom</w:t>
      </w:r>
      <w:bookmarkEnd w:id="7"/>
      <w:r w:rsidRPr="001934C3">
        <w:rPr>
          <w:rFonts w:ascii="Arial" w:hAnsi="Arial" w:cs="Arial"/>
          <w:b/>
        </w:rPr>
        <w:t>s</w:t>
      </w:r>
      <w:bookmarkEnd w:id="8"/>
      <w:bookmarkEnd w:id="9"/>
      <w:bookmarkEnd w:id="10"/>
      <w:bookmarkEnd w:id="11"/>
      <w:bookmarkEnd w:id="12"/>
      <w:bookmarkEnd w:id="13"/>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Izpildītājs nodrošina savlaicīgu un kvalitatīvu Preces piegādi un garantijas apkalpošanu, atbilstoši Tehniskajām specifikācijām - tehniskajam piedāvājumam</w:t>
      </w:r>
      <w:r w:rsidR="00E97DE6" w:rsidRPr="001934C3">
        <w:rPr>
          <w:rFonts w:ascii="Arial" w:hAnsi="Arial" w:cs="Arial"/>
        </w:rPr>
        <w:t xml:space="preserve"> (1. P</w:t>
      </w:r>
      <w:r w:rsidRPr="001934C3">
        <w:rPr>
          <w:rFonts w:ascii="Arial" w:hAnsi="Arial" w:cs="Arial"/>
        </w:rPr>
        <w:t>ielikums), Finanšu piedāvājumam (2.</w:t>
      </w:r>
      <w:r w:rsidR="00E97DE6" w:rsidRPr="001934C3">
        <w:rPr>
          <w:rFonts w:ascii="Arial" w:hAnsi="Arial" w:cs="Arial"/>
        </w:rPr>
        <w:t xml:space="preserve"> Pielikums</w:t>
      </w:r>
      <w:r w:rsidRPr="001934C3">
        <w:rPr>
          <w:rFonts w:ascii="Arial" w:hAnsi="Arial" w:cs="Arial"/>
        </w:rPr>
        <w:t>), šī Līguma nosacījumiem un Latvijas Republikā spēkā esošajiem normatīvajiem aktiem.</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Preces piegādes vieta: </w:t>
      </w:r>
      <w:r w:rsidR="008619ED" w:rsidRPr="001934C3">
        <w:rPr>
          <w:rFonts w:ascii="Arial" w:hAnsi="Arial" w:cs="Arial"/>
        </w:rPr>
        <w:t xml:space="preserve">Rīgas iela 34, Ozolnieki, </w:t>
      </w:r>
      <w:r w:rsidR="005846BB" w:rsidRPr="001934C3">
        <w:rPr>
          <w:rFonts w:ascii="Arial" w:hAnsi="Arial" w:cs="Arial"/>
        </w:rPr>
        <w:t xml:space="preserve">Ozolnieku pagasts, </w:t>
      </w:r>
      <w:r w:rsidR="008619ED" w:rsidRPr="001934C3">
        <w:rPr>
          <w:rFonts w:ascii="Arial" w:hAnsi="Arial" w:cs="Arial"/>
        </w:rPr>
        <w:t>Ozolnieku novads</w:t>
      </w:r>
      <w:r w:rsidRPr="001934C3">
        <w:rPr>
          <w:rFonts w:ascii="Arial" w:hAnsi="Arial" w:cs="Arial"/>
        </w:rPr>
        <w:t>.</w:t>
      </w:r>
    </w:p>
    <w:p w:rsidR="00E36B88" w:rsidRPr="001934C3" w:rsidRDefault="00E36B88" w:rsidP="005706D0">
      <w:pPr>
        <w:ind w:right="43"/>
        <w:jc w:val="both"/>
        <w:rPr>
          <w:rFonts w:ascii="Arial" w:hAnsi="Arial" w:cs="Arial"/>
          <w:color w:val="000000"/>
        </w:rPr>
      </w:pPr>
    </w:p>
    <w:p w:rsidR="00E36B88" w:rsidRPr="001934C3" w:rsidRDefault="00E36B88" w:rsidP="005706D0">
      <w:pPr>
        <w:numPr>
          <w:ilvl w:val="0"/>
          <w:numId w:val="2"/>
        </w:numPr>
        <w:ind w:right="43"/>
        <w:jc w:val="center"/>
        <w:rPr>
          <w:rFonts w:ascii="Arial" w:hAnsi="Arial" w:cs="Arial"/>
          <w:b/>
        </w:rPr>
      </w:pPr>
      <w:bookmarkStart w:id="14" w:name="_Toc48377883"/>
      <w:bookmarkStart w:id="15" w:name="_Toc87150431"/>
      <w:bookmarkStart w:id="16" w:name="_Toc87150915"/>
      <w:bookmarkStart w:id="17" w:name="_Toc87153284"/>
      <w:bookmarkStart w:id="18" w:name="_Toc87851215"/>
      <w:bookmarkStart w:id="19" w:name="_Toc87947351"/>
      <w:bookmarkStart w:id="20" w:name="_Toc87947372"/>
      <w:r w:rsidRPr="001934C3">
        <w:rPr>
          <w:rFonts w:ascii="Arial" w:hAnsi="Arial" w:cs="Arial"/>
          <w:b/>
        </w:rPr>
        <w:t>Piegādes nosacījumi</w:t>
      </w:r>
      <w:bookmarkEnd w:id="14"/>
      <w:bookmarkEnd w:id="15"/>
      <w:bookmarkEnd w:id="16"/>
      <w:bookmarkEnd w:id="17"/>
      <w:bookmarkEnd w:id="18"/>
      <w:bookmarkEnd w:id="19"/>
      <w:bookmarkEnd w:id="20"/>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Izpildītājs nodrošina </w:t>
      </w:r>
      <w:r w:rsidR="00EF420F" w:rsidRPr="001934C3">
        <w:rPr>
          <w:rFonts w:ascii="Arial" w:hAnsi="Arial" w:cs="Arial"/>
        </w:rPr>
        <w:t xml:space="preserve">sekojošas </w:t>
      </w:r>
      <w:r w:rsidRPr="001934C3">
        <w:rPr>
          <w:rFonts w:ascii="Arial" w:hAnsi="Arial" w:cs="Arial"/>
        </w:rPr>
        <w:t>Preces piegādi no Līguma parakstīšanas brīža Līguma 2.2. punktā norādītajā Preces piegādes vietā.</w:t>
      </w:r>
    </w:p>
    <w:p w:rsidR="00246CD4" w:rsidRPr="001934C3" w:rsidRDefault="00113A69" w:rsidP="00246CD4">
      <w:pPr>
        <w:numPr>
          <w:ilvl w:val="2"/>
          <w:numId w:val="2"/>
        </w:numPr>
        <w:ind w:right="43"/>
        <w:jc w:val="both"/>
        <w:rPr>
          <w:rFonts w:ascii="Arial" w:hAnsi="Arial" w:cs="Arial"/>
        </w:rPr>
      </w:pPr>
      <w:r w:rsidRPr="001934C3">
        <w:rPr>
          <w:rFonts w:ascii="Arial" w:hAnsi="Arial" w:cs="Arial"/>
          <w:i/>
        </w:rPr>
        <w:t>1</w:t>
      </w:r>
      <w:r w:rsidR="00246CD4" w:rsidRPr="001934C3">
        <w:rPr>
          <w:rFonts w:ascii="Arial" w:hAnsi="Arial" w:cs="Arial"/>
          <w:i/>
        </w:rPr>
        <w:t xml:space="preserve"> (</w:t>
      </w:r>
      <w:r w:rsidRPr="001934C3">
        <w:rPr>
          <w:rFonts w:ascii="Arial" w:hAnsi="Arial" w:cs="Arial"/>
          <w:i/>
        </w:rPr>
        <w:t>vienu</w:t>
      </w:r>
      <w:r w:rsidR="00246CD4" w:rsidRPr="001934C3">
        <w:rPr>
          <w:rFonts w:ascii="Arial" w:hAnsi="Arial" w:cs="Arial"/>
          <w:i/>
        </w:rPr>
        <w:t xml:space="preserve">) </w:t>
      </w:r>
      <w:r w:rsidRPr="001934C3">
        <w:rPr>
          <w:rFonts w:ascii="Arial" w:hAnsi="Arial" w:cs="Arial"/>
          <w:i/>
        </w:rPr>
        <w:t>Suzuki Vitara</w:t>
      </w:r>
      <w:r w:rsidR="00246CD4" w:rsidRPr="001934C3">
        <w:rPr>
          <w:rFonts w:ascii="Arial" w:hAnsi="Arial" w:cs="Arial"/>
          <w:i/>
        </w:rPr>
        <w:t xml:space="preserve"> </w:t>
      </w:r>
      <w:r w:rsidR="00FF7935" w:rsidRPr="001934C3">
        <w:rPr>
          <w:rFonts w:ascii="Arial" w:hAnsi="Arial" w:cs="Arial"/>
          <w:i/>
        </w:rPr>
        <w:t>–</w:t>
      </w:r>
      <w:r w:rsidR="00246CD4" w:rsidRPr="001934C3">
        <w:rPr>
          <w:rFonts w:ascii="Arial" w:hAnsi="Arial" w:cs="Arial"/>
          <w:i/>
        </w:rPr>
        <w:t xml:space="preserve"> </w:t>
      </w:r>
      <w:r w:rsidR="007E585D" w:rsidRPr="001934C3">
        <w:rPr>
          <w:rFonts w:ascii="Arial" w:hAnsi="Arial" w:cs="Arial"/>
          <w:i/>
        </w:rPr>
        <w:t>1</w:t>
      </w:r>
      <w:r w:rsidR="00FF7935" w:rsidRPr="001934C3">
        <w:rPr>
          <w:rFonts w:ascii="Arial" w:hAnsi="Arial" w:cs="Arial"/>
          <w:i/>
        </w:rPr>
        <w:t xml:space="preserve"> </w:t>
      </w:r>
      <w:r w:rsidR="007E585D" w:rsidRPr="001934C3">
        <w:rPr>
          <w:rFonts w:ascii="Arial" w:hAnsi="Arial" w:cs="Arial"/>
          <w:i/>
        </w:rPr>
        <w:t>nedēļas</w:t>
      </w:r>
      <w:r w:rsidR="00246CD4" w:rsidRPr="001934C3">
        <w:rPr>
          <w:rFonts w:ascii="Arial" w:hAnsi="Arial" w:cs="Arial"/>
          <w:i/>
        </w:rPr>
        <w:t xml:space="preserve"> laikā.</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Pēc Preces piegādes attiecīgajā piegādes vietā Izpildītāja pārstāvis iesniedz Pasūtītāja pārstāvim parakstīšanai Preces pieņemšanas – nodošanas aktu 2 (divos) eksemplāros un Preču pavadzīmi – rēķinu 2 (divos) eksemplāros. </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Pēc Preces pieņemšanas – nodošanas akta un rēķina parakstīšanas Pasūtītāja pārstāvis Preces pieņemšanas – nodošanas akta un Preču pavadzīmes - rēķina vienu eksemplāru patur sev, bet otru eksemplāru atdod Izpildītāja pārstāvim.</w:t>
      </w: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21" w:name="_Toc48377884"/>
      <w:bookmarkStart w:id="22" w:name="_Toc87150432"/>
      <w:bookmarkStart w:id="23" w:name="_Toc87150916"/>
      <w:bookmarkStart w:id="24" w:name="_Toc87153285"/>
      <w:bookmarkStart w:id="25" w:name="_Toc87851216"/>
      <w:bookmarkStart w:id="26" w:name="_Toc87947352"/>
      <w:bookmarkStart w:id="27" w:name="_Toc87947373"/>
      <w:r w:rsidRPr="001934C3">
        <w:rPr>
          <w:rFonts w:ascii="Arial" w:hAnsi="Arial" w:cs="Arial"/>
          <w:b/>
        </w:rPr>
        <w:t>Līguma summa un norēķinu kārtība</w:t>
      </w:r>
      <w:bookmarkEnd w:id="21"/>
      <w:bookmarkEnd w:id="22"/>
      <w:bookmarkEnd w:id="23"/>
      <w:bookmarkEnd w:id="24"/>
      <w:bookmarkEnd w:id="25"/>
      <w:bookmarkEnd w:id="26"/>
      <w:bookmarkEnd w:id="27"/>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Līguma summa ir </w:t>
      </w:r>
      <w:r w:rsidR="00EC3C2B" w:rsidRPr="001934C3">
        <w:rPr>
          <w:rFonts w:ascii="Arial" w:hAnsi="Arial" w:cs="Arial"/>
          <w:b/>
        </w:rPr>
        <w:t>EUR</w:t>
      </w:r>
      <w:r w:rsidRPr="001934C3">
        <w:rPr>
          <w:rFonts w:ascii="Arial" w:hAnsi="Arial" w:cs="Arial"/>
          <w:b/>
        </w:rPr>
        <w:t xml:space="preserve"> </w:t>
      </w:r>
      <w:r w:rsidR="00113A69" w:rsidRPr="001934C3">
        <w:rPr>
          <w:rFonts w:ascii="Arial" w:hAnsi="Arial" w:cs="Arial"/>
          <w:b/>
        </w:rPr>
        <w:t>17</w:t>
      </w:r>
      <w:r w:rsidR="007E585D" w:rsidRPr="001934C3">
        <w:rPr>
          <w:rFonts w:ascii="Arial" w:hAnsi="Arial" w:cs="Arial"/>
          <w:b/>
        </w:rPr>
        <w:t>5</w:t>
      </w:r>
      <w:r w:rsidR="00113A69" w:rsidRPr="001934C3">
        <w:rPr>
          <w:rFonts w:ascii="Arial" w:hAnsi="Arial" w:cs="Arial"/>
          <w:b/>
        </w:rPr>
        <w:t>00.00</w:t>
      </w:r>
      <w:r w:rsidRPr="001934C3">
        <w:rPr>
          <w:rFonts w:ascii="Arial" w:hAnsi="Arial" w:cs="Arial"/>
        </w:rPr>
        <w:t xml:space="preserve"> (</w:t>
      </w:r>
      <w:r w:rsidR="00113A69" w:rsidRPr="001934C3">
        <w:rPr>
          <w:rFonts w:ascii="Arial" w:hAnsi="Arial" w:cs="Arial"/>
        </w:rPr>
        <w:t>Septiņpadsmit tūkstoši</w:t>
      </w:r>
      <w:r w:rsidR="00EC3C2B" w:rsidRPr="001934C3">
        <w:rPr>
          <w:rFonts w:ascii="Arial" w:hAnsi="Arial" w:cs="Arial"/>
        </w:rPr>
        <w:t xml:space="preserve"> </w:t>
      </w:r>
      <w:r w:rsidR="007E585D" w:rsidRPr="001934C3">
        <w:rPr>
          <w:rFonts w:ascii="Arial" w:hAnsi="Arial" w:cs="Arial"/>
        </w:rPr>
        <w:t xml:space="preserve">pieci simti </w:t>
      </w:r>
      <w:r w:rsidR="00EC3C2B" w:rsidRPr="001934C3">
        <w:rPr>
          <w:rFonts w:ascii="Arial" w:hAnsi="Arial" w:cs="Arial"/>
          <w:i/>
        </w:rPr>
        <w:t>euro</w:t>
      </w:r>
      <w:r w:rsidRPr="001934C3">
        <w:rPr>
          <w:rFonts w:ascii="Arial" w:hAnsi="Arial" w:cs="Arial"/>
        </w:rPr>
        <w:t xml:space="preserve"> un </w:t>
      </w:r>
      <w:r w:rsidR="00113A69" w:rsidRPr="001934C3">
        <w:rPr>
          <w:rFonts w:ascii="Arial" w:hAnsi="Arial" w:cs="Arial"/>
        </w:rPr>
        <w:t>0</w:t>
      </w:r>
      <w:r w:rsidR="00EC3C2B" w:rsidRPr="001934C3">
        <w:rPr>
          <w:rFonts w:ascii="Arial" w:hAnsi="Arial" w:cs="Arial"/>
        </w:rPr>
        <w:t>0</w:t>
      </w:r>
      <w:r w:rsidR="00CB0C51" w:rsidRPr="001934C3">
        <w:rPr>
          <w:rFonts w:ascii="Arial" w:hAnsi="Arial" w:cs="Arial"/>
        </w:rPr>
        <w:t xml:space="preserve"> </w:t>
      </w:r>
      <w:r w:rsidR="00EC3C2B" w:rsidRPr="001934C3">
        <w:rPr>
          <w:rFonts w:ascii="Arial" w:hAnsi="Arial" w:cs="Arial"/>
        </w:rPr>
        <w:t>centi</w:t>
      </w:r>
      <w:r w:rsidRPr="001934C3">
        <w:rPr>
          <w:rFonts w:ascii="Arial" w:hAnsi="Arial" w:cs="Arial"/>
        </w:rPr>
        <w:t xml:space="preserve">), ieskaitot 21% pievienotās vērtības nodokli (PVN) </w:t>
      </w:r>
      <w:r w:rsidR="00EC3C2B" w:rsidRPr="001934C3">
        <w:rPr>
          <w:rFonts w:ascii="Arial" w:hAnsi="Arial" w:cs="Arial"/>
          <w:b/>
        </w:rPr>
        <w:t>EUR</w:t>
      </w:r>
      <w:r w:rsidR="00CB0C51" w:rsidRPr="001934C3">
        <w:rPr>
          <w:rFonts w:ascii="Arial" w:hAnsi="Arial" w:cs="Arial"/>
          <w:b/>
        </w:rPr>
        <w:t xml:space="preserve"> </w:t>
      </w:r>
      <w:r w:rsidR="007E585D" w:rsidRPr="001934C3">
        <w:rPr>
          <w:rFonts w:ascii="Arial" w:hAnsi="Arial" w:cs="Arial"/>
          <w:b/>
        </w:rPr>
        <w:t>3037.19</w:t>
      </w:r>
      <w:r w:rsidR="00CB0C51" w:rsidRPr="001934C3">
        <w:rPr>
          <w:rFonts w:ascii="Arial" w:hAnsi="Arial" w:cs="Arial"/>
          <w:b/>
        </w:rPr>
        <w:t xml:space="preserve"> </w:t>
      </w:r>
      <w:r w:rsidRPr="001934C3">
        <w:rPr>
          <w:rFonts w:ascii="Arial" w:hAnsi="Arial" w:cs="Arial"/>
        </w:rPr>
        <w:t>(</w:t>
      </w:r>
      <w:r w:rsidR="007E585D" w:rsidRPr="001934C3">
        <w:rPr>
          <w:rFonts w:ascii="Arial" w:hAnsi="Arial" w:cs="Arial"/>
        </w:rPr>
        <w:t>Trīs</w:t>
      </w:r>
      <w:r w:rsidR="00113A69" w:rsidRPr="001934C3">
        <w:rPr>
          <w:rFonts w:ascii="Arial" w:hAnsi="Arial" w:cs="Arial"/>
        </w:rPr>
        <w:t xml:space="preserve"> tūkstoši </w:t>
      </w:r>
      <w:r w:rsidR="007E585D" w:rsidRPr="001934C3">
        <w:rPr>
          <w:rFonts w:ascii="Arial" w:hAnsi="Arial" w:cs="Arial"/>
        </w:rPr>
        <w:t>trīsdesmit septiņi</w:t>
      </w:r>
      <w:r w:rsidR="00EC3C2B" w:rsidRPr="001934C3">
        <w:rPr>
          <w:rFonts w:ascii="Arial" w:hAnsi="Arial" w:cs="Arial"/>
        </w:rPr>
        <w:t xml:space="preserve"> </w:t>
      </w:r>
      <w:r w:rsidR="00EC3C2B" w:rsidRPr="001934C3">
        <w:rPr>
          <w:rFonts w:ascii="Arial" w:hAnsi="Arial" w:cs="Arial"/>
          <w:i/>
        </w:rPr>
        <w:t>euro</w:t>
      </w:r>
      <w:r w:rsidR="00EC3C2B" w:rsidRPr="001934C3">
        <w:rPr>
          <w:rFonts w:ascii="Arial" w:hAnsi="Arial" w:cs="Arial"/>
        </w:rPr>
        <w:t xml:space="preserve"> un </w:t>
      </w:r>
      <w:r w:rsidR="007E585D" w:rsidRPr="001934C3">
        <w:rPr>
          <w:rFonts w:ascii="Arial" w:hAnsi="Arial" w:cs="Arial"/>
        </w:rPr>
        <w:t>19</w:t>
      </w:r>
      <w:r w:rsidR="00EC3C2B" w:rsidRPr="001934C3">
        <w:rPr>
          <w:rFonts w:ascii="Arial" w:hAnsi="Arial" w:cs="Arial"/>
        </w:rPr>
        <w:t xml:space="preserve"> cent</w:t>
      </w:r>
      <w:r w:rsidR="007E585D" w:rsidRPr="001934C3">
        <w:rPr>
          <w:rFonts w:ascii="Arial" w:hAnsi="Arial" w:cs="Arial"/>
        </w:rPr>
        <w:t>i</w:t>
      </w:r>
      <w:r w:rsidRPr="001934C3">
        <w:rPr>
          <w:rFonts w:ascii="Arial" w:hAnsi="Arial" w:cs="Arial"/>
        </w:rPr>
        <w:t>).</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Līguma summā ietilpst visas ar Tehniskajā specifikācijā noteikto prasību izpildi saistītās izmaksas, tajā skaitā </w:t>
      </w:r>
      <w:r w:rsidR="005846BB" w:rsidRPr="001934C3">
        <w:rPr>
          <w:rFonts w:ascii="Arial" w:hAnsi="Arial" w:cs="Arial"/>
        </w:rPr>
        <w:t>visas izmaksas, kas saistītas ar piegādi, muitas maksājumiem, garantijām, nodokļiem (izņemot PVN, kas tiek norādīts atsevišķi) un nodevām, kā arī nepieciešamo atļauju saņemšanu no trešajām personām, CSDD reģistrāciju.</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Līguma 2. pielikumā noteiktā Līguma summas daļas apmaksa par Preces piegādi tiks veikta ne vēlāk kā 15 (piecpadsmit) dienu laikā pēc abpusēja Preces pieņemšanas nodošana akta un rēķina parakstīšanas brīža, pārskaitot Līguma summas daļu uz Izpildītāja norādīto bankas kontu, izņemot gadījumu, kad saskaņā ar Līguma 7. sadaļā noteikto kārtību tiek pieprasīts Līgumsods.</w:t>
      </w: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28" w:name="_Toc48377885"/>
      <w:bookmarkStart w:id="29" w:name="_Toc87150433"/>
      <w:bookmarkStart w:id="30" w:name="_Toc87150917"/>
      <w:bookmarkStart w:id="31" w:name="_Toc87153286"/>
      <w:bookmarkStart w:id="32" w:name="_Toc87851217"/>
      <w:bookmarkStart w:id="33" w:name="_Toc87947353"/>
      <w:bookmarkStart w:id="34" w:name="_Toc87947374"/>
      <w:r w:rsidRPr="001934C3">
        <w:rPr>
          <w:rFonts w:ascii="Arial" w:hAnsi="Arial" w:cs="Arial"/>
          <w:b/>
        </w:rPr>
        <w:t>Pušu pienākumi un tiesības</w:t>
      </w:r>
      <w:bookmarkEnd w:id="28"/>
      <w:bookmarkEnd w:id="29"/>
      <w:bookmarkEnd w:id="30"/>
      <w:bookmarkEnd w:id="31"/>
      <w:bookmarkEnd w:id="32"/>
      <w:bookmarkEnd w:id="33"/>
      <w:bookmarkEnd w:id="34"/>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lastRenderedPageBreak/>
        <w:t>Pasūtītāja pienākumi un tiesības:</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Pasūtītāja pienākums ir pieņemt saskaņā ar šo Līgumu veikto Preces piegādi un Preces tehniskās apkopes darbus garantijas periodā un samaksāt Līguma summu par veikto Preces piegādi un tehniskajām apkopēm garantijas periodā saskaņā ar Līguma nosacījumiem;</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Pasūtītāja tiesības ir saņemt Preci un to garantijas apkalpošanu saskaņā ar Līguma nosacījumiem.</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Izpildītāja pienākumi un tiesības:</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Izpildītāja pienākums ir veikt Preces piegādi un Preces tehnisko apkopju veikšanu garantijas periodā saskaņā ar Līguma nosacījumiem;</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Izpildītāja tiesības ir saņemt samaksu par veikto Preces piegādi un veiktajām Preces tehniskajām apkopēm garantijas periodā saskaņā ar Līguma nosacījumiem;</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Izpildītājs apņemas pēc Pasūtītāja lūguma nekavējoties novērst Preces darbības traucējumus Preces garantijas perioda laikā.</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Katra Puse ir atbildīga par Līguma nepildīšanu vai par to, ka Līgums nav pienācīgi izpildīts tās vainas dēļ.</w:t>
      </w: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35" w:name="_Toc48377886"/>
      <w:bookmarkStart w:id="36" w:name="_Toc87150434"/>
      <w:bookmarkStart w:id="37" w:name="_Toc87150918"/>
      <w:bookmarkStart w:id="38" w:name="_Toc87153287"/>
      <w:bookmarkStart w:id="39" w:name="_Toc87851218"/>
      <w:bookmarkStart w:id="40" w:name="_Toc87947354"/>
      <w:bookmarkStart w:id="41" w:name="_Toc87947375"/>
      <w:r w:rsidRPr="001934C3">
        <w:rPr>
          <w:rFonts w:ascii="Arial" w:hAnsi="Arial" w:cs="Arial"/>
          <w:b/>
        </w:rPr>
        <w:t>Garantijas apkalpošana</w:t>
      </w:r>
      <w:bookmarkEnd w:id="35"/>
      <w:bookmarkEnd w:id="36"/>
      <w:bookmarkEnd w:id="37"/>
      <w:bookmarkEnd w:id="38"/>
      <w:bookmarkEnd w:id="39"/>
      <w:bookmarkEnd w:id="40"/>
      <w:bookmarkEnd w:id="41"/>
    </w:p>
    <w:p w:rsidR="00E36B88" w:rsidRPr="001934C3" w:rsidRDefault="00E36B88" w:rsidP="005706D0">
      <w:pPr>
        <w:ind w:left="360" w:right="43"/>
        <w:rPr>
          <w:rFonts w:ascii="Arial" w:hAnsi="Arial" w:cs="Arial"/>
          <w:b/>
        </w:rPr>
      </w:pPr>
    </w:p>
    <w:p w:rsidR="00F61FCA"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Garantijas periods Precei </w:t>
      </w:r>
      <w:r w:rsidR="00F61FCA" w:rsidRPr="001934C3">
        <w:rPr>
          <w:rFonts w:ascii="Arial" w:hAnsi="Arial" w:cs="Arial"/>
        </w:rPr>
        <w:t xml:space="preserve">attiecīgi: </w:t>
      </w:r>
    </w:p>
    <w:p w:rsidR="00F61FCA" w:rsidRPr="001934C3" w:rsidRDefault="00113A69" w:rsidP="005706D0">
      <w:pPr>
        <w:numPr>
          <w:ilvl w:val="2"/>
          <w:numId w:val="2"/>
        </w:numPr>
        <w:tabs>
          <w:tab w:val="clear" w:pos="1440"/>
        </w:tabs>
        <w:ind w:left="1418" w:right="43" w:hanging="698"/>
        <w:jc w:val="both"/>
        <w:rPr>
          <w:rFonts w:ascii="Arial" w:hAnsi="Arial" w:cs="Arial"/>
        </w:rPr>
      </w:pPr>
      <w:r w:rsidRPr="001934C3">
        <w:rPr>
          <w:rFonts w:ascii="Arial" w:hAnsi="Arial" w:cs="Arial"/>
          <w:i/>
        </w:rPr>
        <w:t>1</w:t>
      </w:r>
      <w:r w:rsidR="00885894" w:rsidRPr="001934C3">
        <w:rPr>
          <w:rFonts w:ascii="Arial" w:hAnsi="Arial" w:cs="Arial"/>
          <w:i/>
        </w:rPr>
        <w:t>(</w:t>
      </w:r>
      <w:r w:rsidRPr="001934C3">
        <w:rPr>
          <w:rFonts w:ascii="Arial" w:hAnsi="Arial" w:cs="Arial"/>
          <w:i/>
        </w:rPr>
        <w:t>vienas</w:t>
      </w:r>
      <w:r w:rsidR="00885894" w:rsidRPr="001934C3">
        <w:rPr>
          <w:rFonts w:ascii="Arial" w:hAnsi="Arial" w:cs="Arial"/>
          <w:i/>
        </w:rPr>
        <w:t xml:space="preserve">) </w:t>
      </w:r>
      <w:r w:rsidRPr="001934C3">
        <w:rPr>
          <w:rFonts w:ascii="Arial" w:hAnsi="Arial" w:cs="Arial"/>
          <w:i/>
        </w:rPr>
        <w:t>Suzuki Vitara</w:t>
      </w:r>
      <w:r w:rsidR="00F560B0" w:rsidRPr="001934C3">
        <w:rPr>
          <w:rFonts w:ascii="Arial" w:hAnsi="Arial" w:cs="Arial"/>
          <w:i/>
        </w:rPr>
        <w:t xml:space="preserve"> </w:t>
      </w:r>
      <w:r w:rsidR="00F61FCA" w:rsidRPr="001934C3">
        <w:rPr>
          <w:rFonts w:ascii="Arial" w:hAnsi="Arial" w:cs="Arial"/>
          <w:i/>
        </w:rPr>
        <w:t xml:space="preserve">– </w:t>
      </w:r>
      <w:r w:rsidR="00AD53E4" w:rsidRPr="001934C3">
        <w:rPr>
          <w:rFonts w:ascii="Arial" w:hAnsi="Arial" w:cs="Arial"/>
          <w:i/>
        </w:rPr>
        <w:t xml:space="preserve">ne </w:t>
      </w:r>
      <w:r w:rsidR="007E585D" w:rsidRPr="001934C3">
        <w:rPr>
          <w:rFonts w:ascii="Arial" w:hAnsi="Arial" w:cs="Arial"/>
          <w:i/>
        </w:rPr>
        <w:t>mazāk kā 3 gadu vai 100 000 km nobraukuma</w:t>
      </w:r>
      <w:r w:rsidR="00F560B0" w:rsidRPr="001934C3">
        <w:rPr>
          <w:rFonts w:ascii="Arial" w:hAnsi="Arial" w:cs="Arial"/>
          <w:i/>
        </w:rPr>
        <w:t>,</w:t>
      </w:r>
    </w:p>
    <w:p w:rsidR="00E36B88" w:rsidRPr="001934C3" w:rsidRDefault="00E36B88" w:rsidP="005706D0">
      <w:pPr>
        <w:ind w:left="567" w:right="43"/>
        <w:jc w:val="both"/>
        <w:rPr>
          <w:rFonts w:ascii="Arial" w:hAnsi="Arial" w:cs="Arial"/>
        </w:rPr>
      </w:pPr>
      <w:r w:rsidRPr="001934C3">
        <w:rPr>
          <w:rFonts w:ascii="Arial" w:hAnsi="Arial" w:cs="Arial"/>
        </w:rPr>
        <w:t>ņemot vērā, kurš no rādītājiem tiek sasniegts pirmais. Garantijas periods Precei sākas ar datumu, kad parakstīts Preces pieņemšanas – nodošanas akts un Preču pavadzīme– rēķins par konkrētās Preces piegādi.</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Izpildītājs garantē piegādātās Preces darbību atbilstoši to tehniskās specifikācijas nosacījumiem visā garantijas spēkā esamības laikā un ir atbildīgs par visu bojājumu, kas nav radušies Preces ekspluatācijas noteikumu pārkāpumu dēļ, trūkumu un/vai defektu novēršanu, nodrošinot tehnisko atbalstu, sākot ar attiecīgā Preces pieņemšanas – nodošanas akta un Preču pavadzīmes – rēķina parakstīšanas brīdi.</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Izpildītājs Preces garantijas laikā nodrošina Preces tehnisko apkopju veikšanu atbilstoši Tehniskajās specifikācijās – Tehniskajā piedāvājumā (Līguma 1. pielikums) noteiktajam tehnisko apkopju biežumam un veikšanas kārtībai</w:t>
      </w:r>
      <w:r w:rsidR="00D07046" w:rsidRPr="001934C3">
        <w:rPr>
          <w:rFonts w:ascii="Arial" w:hAnsi="Arial" w:cs="Arial"/>
        </w:rPr>
        <w:t>.</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Jebkuru, trūkumu, bojājumu un/vai defektu novēršanu (t. sk. Preces nogādāšana līdz servisa vietai un atpakaļ no to atrašanās vietas) garantijas perioda laikā Izpildītājs veic bez maksas, ievērojot šādu kārtību un termiņus:</w:t>
      </w:r>
    </w:p>
    <w:p w:rsidR="00E36B88" w:rsidRPr="001934C3" w:rsidRDefault="00E36B88" w:rsidP="005706D0">
      <w:pPr>
        <w:numPr>
          <w:ilvl w:val="2"/>
          <w:numId w:val="2"/>
        </w:numPr>
        <w:tabs>
          <w:tab w:val="num" w:pos="540"/>
        </w:tabs>
        <w:ind w:left="1440" w:right="43" w:hanging="900"/>
        <w:jc w:val="both"/>
        <w:rPr>
          <w:rFonts w:ascii="Arial" w:hAnsi="Arial" w:cs="Arial"/>
        </w:rPr>
      </w:pPr>
      <w:r w:rsidRPr="001934C3">
        <w:rPr>
          <w:rFonts w:ascii="Arial" w:hAnsi="Arial" w:cs="Arial"/>
        </w:rPr>
        <w:t>ja tiek atklāti Preces trūkumi, bojājumi un/vai defekti, Izpildītājs par to tiek informēts rakstiski uz Izpildītāja e-pastu (e-pasta adrese:</w:t>
      </w:r>
      <w:r w:rsidR="00B756AC" w:rsidRPr="001934C3">
        <w:rPr>
          <w:rFonts w:ascii="Arial" w:hAnsi="Arial" w:cs="Arial"/>
        </w:rPr>
        <w:t xml:space="preserve"> info@autobrava.lv</w:t>
      </w:r>
      <w:r w:rsidR="00765C60" w:rsidRPr="001934C3">
        <w:rPr>
          <w:rFonts w:ascii="Arial" w:hAnsi="Arial" w:cs="Arial"/>
        </w:rPr>
        <w:t xml:space="preserve">) </w:t>
      </w:r>
      <w:r w:rsidRPr="001934C3">
        <w:rPr>
          <w:rFonts w:ascii="Arial" w:hAnsi="Arial" w:cs="Arial"/>
        </w:rPr>
        <w:t>vai telefoniski (tālrunis:</w:t>
      </w:r>
      <w:r w:rsidR="001972D1" w:rsidRPr="001934C3">
        <w:rPr>
          <w:rFonts w:ascii="Arial" w:hAnsi="Arial" w:cs="Arial"/>
        </w:rPr>
        <w:t xml:space="preserve"> +371 </w:t>
      </w:r>
      <w:r w:rsidR="00B756AC" w:rsidRPr="001934C3">
        <w:rPr>
          <w:rFonts w:ascii="Arial" w:hAnsi="Arial" w:cs="Arial"/>
        </w:rPr>
        <w:t>25776629</w:t>
      </w:r>
      <w:r w:rsidR="00765C60" w:rsidRPr="001934C3">
        <w:rPr>
          <w:rFonts w:ascii="Arial" w:hAnsi="Arial" w:cs="Arial"/>
        </w:rPr>
        <w:t xml:space="preserve">) </w:t>
      </w:r>
      <w:r w:rsidRPr="001934C3">
        <w:rPr>
          <w:rFonts w:ascii="Arial" w:hAnsi="Arial" w:cs="Arial"/>
        </w:rPr>
        <w:t>vai pa faksu (faksa Nr</w:t>
      </w:r>
      <w:r w:rsidR="00B756AC" w:rsidRPr="001934C3">
        <w:rPr>
          <w:rFonts w:ascii="Arial" w:hAnsi="Arial" w:cs="Arial"/>
        </w:rPr>
        <w:t>.67146256</w:t>
      </w:r>
      <w:r w:rsidR="00765C60" w:rsidRPr="001934C3">
        <w:rPr>
          <w:rFonts w:ascii="Arial" w:hAnsi="Arial" w:cs="Arial"/>
        </w:rPr>
        <w:t>)</w:t>
      </w:r>
      <w:r w:rsidRPr="001934C3">
        <w:rPr>
          <w:rFonts w:ascii="Arial" w:hAnsi="Arial" w:cs="Arial"/>
        </w:rPr>
        <w:t>;</w:t>
      </w:r>
    </w:p>
    <w:p w:rsidR="00E36B88" w:rsidRPr="001934C3" w:rsidRDefault="00E36B88" w:rsidP="005706D0">
      <w:pPr>
        <w:numPr>
          <w:ilvl w:val="2"/>
          <w:numId w:val="2"/>
        </w:numPr>
        <w:tabs>
          <w:tab w:val="num" w:pos="540"/>
        </w:tabs>
        <w:ind w:left="1440" w:right="43" w:hanging="900"/>
        <w:jc w:val="both"/>
        <w:rPr>
          <w:rFonts w:ascii="Arial" w:hAnsi="Arial" w:cs="Arial"/>
        </w:rPr>
      </w:pPr>
      <w:r w:rsidRPr="001934C3">
        <w:rPr>
          <w:rFonts w:ascii="Arial" w:hAnsi="Arial" w:cs="Arial"/>
        </w:rPr>
        <w:t xml:space="preserve">pēc informācijas saņemšanas telefoniski vai pa e-pastu, vai faksu Izpildītāja pārstāvis attiecīgajā Preces atrašanās vietā </w:t>
      </w:r>
      <w:r w:rsidR="00B52CE9" w:rsidRPr="001934C3">
        <w:rPr>
          <w:rFonts w:ascii="Arial" w:hAnsi="Arial" w:cs="Arial"/>
        </w:rPr>
        <w:t xml:space="preserve">Ozolnieku </w:t>
      </w:r>
      <w:r w:rsidRPr="001934C3">
        <w:rPr>
          <w:rFonts w:ascii="Arial" w:hAnsi="Arial" w:cs="Arial"/>
        </w:rPr>
        <w:t>novada teritorijā ierodas 24</w:t>
      </w:r>
      <w:r w:rsidR="004D2B9B" w:rsidRPr="001934C3">
        <w:rPr>
          <w:rFonts w:ascii="Arial" w:hAnsi="Arial" w:cs="Arial"/>
        </w:rPr>
        <w:t xml:space="preserve"> (divdesmit četru) stundu laikā</w:t>
      </w:r>
      <w:r w:rsidRPr="001934C3">
        <w:rPr>
          <w:rFonts w:ascii="Arial" w:hAnsi="Arial" w:cs="Arial"/>
        </w:rPr>
        <w:t xml:space="preserve"> ja Preces tehniskais stāvoklis nepieļauj tās drošu ekspluatēšanu līdz Izpildītāja noteiktajai servisa vietai vai četru stundu laikā no Pasūtītāja pārstāvja pieteikuma saņemšanas brīža informē Pasūtītāja pārstāvi par vietu un laiku, kur jānogādā Prece, ja tās ekspluatācija ir pieļaujama, lai to nogādātu līdz Izpildītāja norādītajai servisa vietai. Pēc Izpildītāja pārstāvja ierašanās attiecīgajā Preces atrašanās vietā vai Preces nogādāšanas Izpildītāja noteiktajā servisa vietā par konstatēto nekavējoties tiek sastādīts un abpusēji parakstīts akts, kurā tiek noteikti trūkumu, bojājumu un/vai defekti, rašanās cēloņi, novēršanas risinājums un termiņš;</w:t>
      </w:r>
    </w:p>
    <w:p w:rsidR="00E36B88" w:rsidRPr="001934C3" w:rsidRDefault="00E36B88" w:rsidP="005706D0">
      <w:pPr>
        <w:numPr>
          <w:ilvl w:val="2"/>
          <w:numId w:val="2"/>
        </w:numPr>
        <w:tabs>
          <w:tab w:val="num" w:pos="540"/>
        </w:tabs>
        <w:ind w:left="1440" w:right="43" w:hanging="900"/>
        <w:jc w:val="both"/>
        <w:rPr>
          <w:rFonts w:ascii="Arial" w:hAnsi="Arial" w:cs="Arial"/>
        </w:rPr>
      </w:pPr>
      <w:r w:rsidRPr="001934C3">
        <w:rPr>
          <w:rFonts w:ascii="Arial" w:hAnsi="Arial" w:cs="Arial"/>
        </w:rPr>
        <w:t>konstatētie trūkumi, bojājumi un/vai defekti Izpildītājam jānovērš 24 (divdesmit četrās) stundās darba dienas laikā (no plkst. 9.00 – 17.00) pēc 6.4.2. apakšpunktā minētā akta sastādīšanas un abpusējas parakstīšanas vai arī jāpiedāvā alternatīvs risinājums gadījumos, kad nepieciešams veikt Preces vai tās komponentes daļēju vai pilnīgu apmaiņu;</w:t>
      </w:r>
    </w:p>
    <w:p w:rsidR="00E36B88" w:rsidRPr="001934C3" w:rsidRDefault="00E36B88" w:rsidP="005706D0">
      <w:pPr>
        <w:numPr>
          <w:ilvl w:val="2"/>
          <w:numId w:val="2"/>
        </w:numPr>
        <w:tabs>
          <w:tab w:val="num" w:pos="540"/>
        </w:tabs>
        <w:ind w:left="1440" w:right="43" w:hanging="900"/>
        <w:jc w:val="both"/>
        <w:rPr>
          <w:rFonts w:ascii="Arial" w:hAnsi="Arial" w:cs="Arial"/>
        </w:rPr>
      </w:pPr>
      <w:r w:rsidRPr="001934C3">
        <w:rPr>
          <w:rFonts w:ascii="Arial" w:hAnsi="Arial" w:cs="Arial"/>
        </w:rPr>
        <w:t xml:space="preserve">Gadījumā, ja Izpildītājs nevar novērst Preces trūkumus, bojājumus un/ vai defektus 24 (divdesmit četrās) stundās darba laikā, tas nodrošina Pasūtītāju bez papildus samaksas ar līdzvērtīgu Preci atbilstoši Tehniskajās specifikācijās – Tehniskajā </w:t>
      </w:r>
      <w:r w:rsidRPr="001934C3">
        <w:rPr>
          <w:rFonts w:ascii="Arial" w:hAnsi="Arial" w:cs="Arial"/>
        </w:rPr>
        <w:lastRenderedPageBreak/>
        <w:t>piedāvājumā (Līguma 1. pielikums) noteiktajām prasībām uz Preces defektu novēršanas laiku.</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Trūkumi, bojājumi un/vai defekti, kas radušies Izpildītāja vainas dēļ, Izpildītājam jānovērš bez maksas.</w:t>
      </w: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42" w:name="_Toc48377887"/>
      <w:bookmarkStart w:id="43" w:name="_Toc87150435"/>
      <w:bookmarkStart w:id="44" w:name="_Toc87150919"/>
      <w:bookmarkStart w:id="45" w:name="_Toc87153288"/>
      <w:bookmarkStart w:id="46" w:name="_Toc87851219"/>
      <w:bookmarkStart w:id="47" w:name="_Toc87947355"/>
      <w:bookmarkStart w:id="48" w:name="_Toc87947376"/>
      <w:r w:rsidRPr="001934C3">
        <w:rPr>
          <w:rFonts w:ascii="Arial" w:hAnsi="Arial" w:cs="Arial"/>
          <w:b/>
        </w:rPr>
        <w:t>Līgumsods</w:t>
      </w:r>
      <w:bookmarkEnd w:id="42"/>
      <w:bookmarkEnd w:id="43"/>
      <w:bookmarkEnd w:id="44"/>
      <w:bookmarkEnd w:id="45"/>
      <w:bookmarkEnd w:id="46"/>
      <w:bookmarkEnd w:id="47"/>
      <w:bookmarkEnd w:id="48"/>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Gadījumā, ja Izpildītājs neizpilda saistības, tajā skaitā garantijas saistības, paredzētajos termiņos, un Pasūtītājs rakstiski pieprasa no Izpildītāja maksāt Līgumsodu, Izpildītājs maksā Pasūtītājam Līgumsodu 0.1% (viena desmitā daļa procenta) apmērā no Līguma summas bez PVN par katru nokavēto dienu, ja minētais nokavējums radies Izpildītāja vai Izpildītāja Līgumā iesaistītu trešo personu dēļ.</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Gadījumā, ja Pasūtītājs nesamaksā Izpildītājam Līguma maksājumu paredzētajos termiņos, un Izpildītājs rakstiski pieprasa no Pasūtītāja maksāt Izpildītājam Līgumsodu, Pasūtītājs maksā Izpildītājam Līgumsodu 0.1% (viena desmitā daļa procenta) apmērā no Līguma summas bez PVN par katru nokavēto dienu.</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Gadījumā, ja Līgums tiek pārtraukts Izpildītāja vainas dēļ, Izpildītājs maksā Pasūtītājam līgumsodu </w:t>
      </w:r>
      <w:r w:rsidR="000B5DA2" w:rsidRPr="001934C3">
        <w:rPr>
          <w:rFonts w:ascii="Arial" w:hAnsi="Arial" w:cs="Arial"/>
        </w:rPr>
        <w:t>1</w:t>
      </w:r>
      <w:r w:rsidRPr="001934C3">
        <w:rPr>
          <w:rFonts w:ascii="Arial" w:hAnsi="Arial" w:cs="Arial"/>
        </w:rPr>
        <w:t>0% (</w:t>
      </w:r>
      <w:r w:rsidR="00D57E87" w:rsidRPr="001934C3">
        <w:rPr>
          <w:rFonts w:ascii="Arial" w:hAnsi="Arial" w:cs="Arial"/>
        </w:rPr>
        <w:t>desmit</w:t>
      </w:r>
      <w:r w:rsidRPr="001934C3">
        <w:rPr>
          <w:rFonts w:ascii="Arial" w:hAnsi="Arial" w:cs="Arial"/>
        </w:rPr>
        <w:t xml:space="preserve"> procentu) apmērā no Līguma kopējās summas bez PVN. </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Līgumsoda pieprasīšanas kārtība: Lai pieprasītu Līgumsodu no otras Puses, 5 (piecu) darba dienu laikā pēc saistību faktiskās izpildes dienas (tas ir, Preces piegādei – Preces pieņemšanas nodošanas aktā noteiktais datums (Līguma 3. sadaļa); maksājumu izpildei – datums, kad Puses noteiktā kredītiestāde ir veikusi maksājumu; garantiju izpildei – atbilstoši šī Līguma 6.4. punktā noteiktajai kārtībai sastādītajā aktā norādītais datums) Līgumsoda pieprasītājpuse sagatavo un paraksta Aktu par Līgumsodu, kuru nosūta otrai Pusei. 3 (trīs) darba dienu laikā pēc Akta par Līgumsodu saņemšanas otra Puse:</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piekrīt Līgumsoda apmēram, parakstot un nosūtot Aktu par Līgumsodu otrai pusei, vai</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nepiekrīt Līgumsoda apmēram, neparakstot Aktu par Līgumsodu un nosūtot motivētu atteikumu parakstīt Aktu par Līgumsodu otrai Pusei. Šajā gadījumā 3 (trīs) darba dienu laikā pēc atteikuma saņemšanas par Līguma izpildi atbildīgā persona no Līgumsoda pieprasītājpuses atkārtoti pieprasa Līgumsodu no otras Puses vai nosūta otrai Pusei paziņojumu par Līgumsoda pieprasījuma atsaukšanu.</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Līgumsoda samaksas kārtība:</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gadījumā, ja tiek veikts maksājums – Pasūtītājs 10 (desmit) darba dienu laikā pēc Akta par Līgumsodu parakstīšanas veic samaksu par piegādāto Preci, no tā ieturot Līgumsodu un nosūtot Izpildītājam rēķinu par Līgumsoda ieturēšanu;</w:t>
      </w:r>
    </w:p>
    <w:p w:rsidR="00E36B88" w:rsidRPr="001934C3" w:rsidRDefault="00E36B88" w:rsidP="005706D0">
      <w:pPr>
        <w:numPr>
          <w:ilvl w:val="2"/>
          <w:numId w:val="2"/>
        </w:numPr>
        <w:ind w:left="1440" w:right="43" w:hanging="900"/>
        <w:jc w:val="both"/>
        <w:rPr>
          <w:rFonts w:ascii="Arial" w:hAnsi="Arial" w:cs="Arial"/>
        </w:rPr>
      </w:pPr>
      <w:r w:rsidRPr="001934C3">
        <w:rPr>
          <w:rFonts w:ascii="Arial" w:hAnsi="Arial" w:cs="Arial"/>
        </w:rPr>
        <w:t>pārējos gadījumos – 5 (piecu) darba dienu laikā pēc Akta par Līgumsodu parakstīšanas viena Puse nosūta otrai Pusei rēķinu par Līgumsodu, kurš tiek apmaksāts 10 (desmit) darba dienu laikā pēc tā saņemšanas, pārskaitot attiecīgo summu uz Puses norādīto bankas kontu.</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Šī Līguma 7.1. un 7.2. punktā noteiktā Līgumsoda samaksa neatbrīvo Puses no šajā Līgumā noteikto saistību pilnīgas izpildes.</w:t>
      </w:r>
    </w:p>
    <w:p w:rsidR="008B1A89" w:rsidRPr="001934C3" w:rsidRDefault="008B1A89"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49" w:name="_Toc48377888"/>
      <w:bookmarkStart w:id="50" w:name="_Toc87150436"/>
      <w:bookmarkStart w:id="51" w:name="_Toc87150920"/>
      <w:bookmarkStart w:id="52" w:name="_Toc87153289"/>
      <w:bookmarkStart w:id="53" w:name="_Toc87851220"/>
      <w:bookmarkStart w:id="54" w:name="_Toc87947356"/>
      <w:bookmarkStart w:id="55" w:name="_Toc87947377"/>
      <w:r w:rsidRPr="001934C3">
        <w:rPr>
          <w:rFonts w:ascii="Arial" w:hAnsi="Arial" w:cs="Arial"/>
          <w:b/>
        </w:rPr>
        <w:t>Nepārvarama vara</w:t>
      </w:r>
      <w:bookmarkEnd w:id="49"/>
      <w:bookmarkEnd w:id="50"/>
      <w:bookmarkEnd w:id="51"/>
      <w:bookmarkEnd w:id="52"/>
      <w:bookmarkEnd w:id="53"/>
      <w:bookmarkEnd w:id="54"/>
      <w:bookmarkEnd w:id="55"/>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Šī Līguma izpratnē nepārvarama vara nozīmē notikumu, kas ir ārpus Puses pamatotas kontroles un kas padara Pusei savu no šī Līguma izrietošo saistību izpildi par neiespējamu.</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Puses nespēja pildīt kādu no savām saistībām saskaņā ar Līgumu netiks uzskatīta par atkāpšanos no šī līguma vai saistību nepildīšanu, ja Puses nespēja izriet no nepārvaramas varas notikuma, ja Puse, kuru ietekmējis šāds notikums (a) ir veikusi visus pamatotos piesardzības pasākumus, veltījusi nepieciešamo uzmanību un spērusi pamatotos alternatīvos soļus, lai izpildītu šī Līguma noteikumus, un (b) ir informējusi otru Pusi pēc iespējas ātrāk par šāda notikuma iestāšanos.</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Jebkurš periods, kurā Pusei saskaņā ar šo Līgumu ir jāveic kāda darbība vai uzdevums, ir pagarināms par periodu, kas pielīdzināms laikam, kurā Puse nespēja veikt šādu darbību nepārvaramas varas ietekmē.</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Ja nepārvaramas varas apstākļi turpinās ilgāk par 1 (vienu) mēnesi, Pusēm jāvienojas par saistību izpildes atlikšanu, izbeigšanu vai turpināšanas procedūru. </w:t>
      </w: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56" w:name="_Toc48377889"/>
      <w:bookmarkStart w:id="57" w:name="_Toc87150437"/>
      <w:bookmarkStart w:id="58" w:name="_Toc87150921"/>
      <w:bookmarkStart w:id="59" w:name="_Toc87153290"/>
      <w:bookmarkStart w:id="60" w:name="_Toc87851221"/>
      <w:bookmarkStart w:id="61" w:name="_Toc87947357"/>
      <w:bookmarkStart w:id="62" w:name="_Toc87947378"/>
      <w:r w:rsidRPr="001934C3">
        <w:rPr>
          <w:rFonts w:ascii="Arial" w:hAnsi="Arial" w:cs="Arial"/>
          <w:b/>
        </w:rPr>
        <w:t>Līguma darbības termiņš</w:t>
      </w:r>
      <w:bookmarkEnd w:id="56"/>
      <w:bookmarkEnd w:id="57"/>
      <w:bookmarkEnd w:id="58"/>
      <w:bookmarkEnd w:id="59"/>
      <w:bookmarkEnd w:id="60"/>
      <w:bookmarkEnd w:id="61"/>
      <w:bookmarkEnd w:id="62"/>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Šis Līgums stājas spēkā pēc tā abpusējas parakstīšanas un darbojas līdz Līgumā noteikto saistību pilnīgai izpildei.</w:t>
      </w:r>
    </w:p>
    <w:p w:rsidR="00E36B88" w:rsidRPr="001934C3" w:rsidRDefault="00E36B88" w:rsidP="005706D0">
      <w:pPr>
        <w:ind w:right="43"/>
        <w:jc w:val="both"/>
        <w:rPr>
          <w:rFonts w:ascii="Arial" w:hAnsi="Arial" w:cs="Arial"/>
        </w:rPr>
      </w:pPr>
    </w:p>
    <w:p w:rsidR="000F53E3" w:rsidRPr="001934C3" w:rsidRDefault="000F53E3"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63" w:name="_Toc48377890"/>
      <w:bookmarkStart w:id="64" w:name="_Toc87150438"/>
      <w:bookmarkStart w:id="65" w:name="_Toc87150922"/>
      <w:bookmarkStart w:id="66" w:name="_Toc87153291"/>
      <w:bookmarkStart w:id="67" w:name="_Toc87851222"/>
      <w:bookmarkStart w:id="68" w:name="_Toc87947358"/>
      <w:bookmarkStart w:id="69" w:name="_Toc87947379"/>
      <w:r w:rsidRPr="001934C3">
        <w:rPr>
          <w:rFonts w:ascii="Arial" w:hAnsi="Arial" w:cs="Arial"/>
          <w:b/>
        </w:rPr>
        <w:t xml:space="preserve">Līguma grozīšana un </w:t>
      </w:r>
      <w:bookmarkEnd w:id="63"/>
      <w:r w:rsidRPr="001934C3">
        <w:rPr>
          <w:rFonts w:ascii="Arial" w:hAnsi="Arial" w:cs="Arial"/>
          <w:b/>
        </w:rPr>
        <w:t>izbeigšana</w:t>
      </w:r>
      <w:bookmarkEnd w:id="64"/>
      <w:bookmarkEnd w:id="65"/>
      <w:bookmarkEnd w:id="66"/>
      <w:bookmarkEnd w:id="67"/>
      <w:bookmarkEnd w:id="68"/>
      <w:bookmarkEnd w:id="69"/>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Līgumu var grozīt, papildināt vai mainīt Līguma nosacījumus (izņemot Līguma summu),  </w:t>
      </w:r>
      <w:r w:rsidRPr="001934C3">
        <w:rPr>
          <w:rFonts w:ascii="Arial" w:hAnsi="Arial" w:cs="Arial"/>
        </w:rPr>
        <w:br/>
        <w:t xml:space="preserve">ievērojot Publisko iepirkumu likuma </w:t>
      </w:r>
      <w:r w:rsidR="00FF7935" w:rsidRPr="001934C3">
        <w:rPr>
          <w:rFonts w:ascii="Arial" w:hAnsi="Arial" w:cs="Arial"/>
        </w:rPr>
        <w:t>61.</w:t>
      </w:r>
      <w:r w:rsidRPr="001934C3">
        <w:rPr>
          <w:rFonts w:ascii="Arial" w:hAnsi="Arial" w:cs="Arial"/>
        </w:rPr>
        <w:t xml:space="preserve"> pantā noteiktos nosacījumus, lai tā izpilde būtu Pusēm izdevīga, noformējot rakstisku Pušu vienošanos, kas kļūst par šī Līguma neatņemamu sastāvdaļu.</w:t>
      </w:r>
    </w:p>
    <w:p w:rsidR="00E36B88"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Ja Izpildītājs nepilda vai pārkāpj šī Līguma saistības, Pasūtītājs ir tiesīgs vienpusējā kārtībā atkāpties no šī Līguma, paziņojot par to rakstiski otrai Pusei 15 (piecpadsmit) dienas iepriekš.</w:t>
      </w:r>
    </w:p>
    <w:p w:rsidR="006A0DDA" w:rsidRDefault="006A0DDA" w:rsidP="006A0DDA">
      <w:pPr>
        <w:ind w:right="43"/>
        <w:jc w:val="both"/>
        <w:rPr>
          <w:rFonts w:ascii="Arial" w:hAnsi="Arial" w:cs="Arial"/>
        </w:rPr>
      </w:pPr>
    </w:p>
    <w:p w:rsidR="006A0DDA" w:rsidRPr="001934C3" w:rsidRDefault="006A0DDA" w:rsidP="006A0DDA">
      <w:pPr>
        <w:ind w:right="43"/>
        <w:jc w:val="both"/>
        <w:rPr>
          <w:rFonts w:ascii="Arial" w:hAnsi="Arial" w:cs="Arial"/>
        </w:rPr>
      </w:pP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70" w:name="_Toc48377891"/>
      <w:bookmarkStart w:id="71" w:name="_Toc87150439"/>
      <w:bookmarkStart w:id="72" w:name="_Toc87150923"/>
      <w:bookmarkStart w:id="73" w:name="_Toc87153292"/>
      <w:bookmarkStart w:id="74" w:name="_Toc87851223"/>
      <w:bookmarkStart w:id="75" w:name="_Toc87947359"/>
      <w:bookmarkStart w:id="76" w:name="_Toc87947380"/>
      <w:r w:rsidRPr="001934C3">
        <w:rPr>
          <w:rFonts w:ascii="Arial" w:hAnsi="Arial" w:cs="Arial"/>
          <w:b/>
        </w:rPr>
        <w:t>Strīdu izskatīšanas kārtība</w:t>
      </w:r>
      <w:bookmarkEnd w:id="70"/>
      <w:bookmarkEnd w:id="71"/>
      <w:bookmarkEnd w:id="72"/>
      <w:bookmarkEnd w:id="73"/>
      <w:bookmarkEnd w:id="74"/>
      <w:bookmarkEnd w:id="75"/>
      <w:bookmarkEnd w:id="76"/>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Puses pieliks visas pūles, lai draudzīgi risinātu visus strīdus, kas izriet vai rodas saistībā ar šo Līgumu vai tā interpretāciju.</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Jebkura strīda risināšanai Pušu starpā par jautājumiem, kas izriet no šī Līguma un ko neizdodas atrisināt draudzīgi 30 (trīsdesmit) dienu laikā pēc tam, kad viena no Pusēm saņēmusi otras Puses pieprasījumu draudzīgam risinājumam, jebkura no Pusēm ir tiesīga vērsties tiesā. Strīda risināšana notiks saskaņā ar Latvijas Republikā spēkā esošajiem normatīvajiem aktiem.</w:t>
      </w: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77" w:name="_Toc48377892"/>
      <w:bookmarkStart w:id="78" w:name="_Toc87150440"/>
      <w:bookmarkStart w:id="79" w:name="_Toc87150924"/>
      <w:bookmarkStart w:id="80" w:name="_Toc87153293"/>
      <w:bookmarkStart w:id="81" w:name="_Toc87851224"/>
      <w:bookmarkStart w:id="82" w:name="_Toc87947360"/>
      <w:bookmarkStart w:id="83" w:name="_Toc87947381"/>
      <w:r w:rsidRPr="001934C3">
        <w:rPr>
          <w:rFonts w:ascii="Arial" w:hAnsi="Arial" w:cs="Arial"/>
          <w:b/>
        </w:rPr>
        <w:t>Citi noteikumi</w:t>
      </w:r>
      <w:bookmarkEnd w:id="77"/>
      <w:bookmarkEnd w:id="78"/>
      <w:bookmarkEnd w:id="79"/>
      <w:bookmarkEnd w:id="80"/>
      <w:bookmarkEnd w:id="81"/>
      <w:bookmarkEnd w:id="82"/>
      <w:bookmarkEnd w:id="83"/>
    </w:p>
    <w:p w:rsidR="00E36B88" w:rsidRPr="001934C3" w:rsidRDefault="00E36B88" w:rsidP="005706D0">
      <w:pPr>
        <w:ind w:left="360" w:right="43"/>
        <w:rPr>
          <w:rFonts w:ascii="Arial" w:hAnsi="Arial" w:cs="Arial"/>
          <w:b/>
        </w:rPr>
      </w:pP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 xml:space="preserve">Līgums sastādīts uz </w:t>
      </w:r>
      <w:r w:rsidR="005B3682" w:rsidRPr="001934C3">
        <w:rPr>
          <w:rFonts w:ascii="Arial" w:hAnsi="Arial" w:cs="Arial"/>
        </w:rPr>
        <w:t>8</w:t>
      </w:r>
      <w:r w:rsidR="000D4C3D" w:rsidRPr="001934C3">
        <w:rPr>
          <w:rFonts w:ascii="Arial" w:hAnsi="Arial" w:cs="Arial"/>
        </w:rPr>
        <w:t xml:space="preserve"> </w:t>
      </w:r>
      <w:r w:rsidRPr="001934C3">
        <w:rPr>
          <w:rFonts w:ascii="Arial" w:hAnsi="Arial" w:cs="Arial"/>
        </w:rPr>
        <w:t>(</w:t>
      </w:r>
      <w:r w:rsidR="005B3682" w:rsidRPr="001934C3">
        <w:rPr>
          <w:rFonts w:ascii="Arial" w:hAnsi="Arial" w:cs="Arial"/>
        </w:rPr>
        <w:t>astoņām</w:t>
      </w:r>
      <w:r w:rsidRPr="001934C3">
        <w:rPr>
          <w:rFonts w:ascii="Arial" w:hAnsi="Arial" w:cs="Arial"/>
        </w:rPr>
        <w:t xml:space="preserve">) lapām un parakstīts </w:t>
      </w:r>
      <w:r w:rsidR="000D4C3D" w:rsidRPr="001934C3">
        <w:rPr>
          <w:rFonts w:ascii="Arial" w:hAnsi="Arial" w:cs="Arial"/>
        </w:rPr>
        <w:t>2</w:t>
      </w:r>
      <w:r w:rsidRPr="001934C3">
        <w:rPr>
          <w:rFonts w:ascii="Arial" w:hAnsi="Arial" w:cs="Arial"/>
        </w:rPr>
        <w:t xml:space="preserve"> (</w:t>
      </w:r>
      <w:r w:rsidR="000D4C3D" w:rsidRPr="001934C3">
        <w:rPr>
          <w:rFonts w:ascii="Arial" w:hAnsi="Arial" w:cs="Arial"/>
        </w:rPr>
        <w:t>divos</w:t>
      </w:r>
      <w:r w:rsidRPr="001934C3">
        <w:rPr>
          <w:rFonts w:ascii="Arial" w:hAnsi="Arial" w:cs="Arial"/>
        </w:rPr>
        <w:t xml:space="preserve">) eksemplāros, katrai Pusei pa vienam eksemplāram. </w:t>
      </w:r>
      <w:r w:rsidR="000D4C3D" w:rsidRPr="001934C3">
        <w:rPr>
          <w:rFonts w:ascii="Arial" w:hAnsi="Arial" w:cs="Arial"/>
        </w:rPr>
        <w:t>V</w:t>
      </w:r>
      <w:r w:rsidRPr="001934C3">
        <w:rPr>
          <w:rFonts w:ascii="Arial" w:hAnsi="Arial" w:cs="Arial"/>
        </w:rPr>
        <w:t xml:space="preserve">isiem eksemplāriem ir vienāds juridiskais spēks. </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Līguma 2 (divi) pielikumi ir šī Līguma neatņemamas sastāvdaļas:</w:t>
      </w:r>
    </w:p>
    <w:p w:rsidR="00E36B88" w:rsidRPr="001934C3" w:rsidRDefault="0073531B" w:rsidP="005706D0">
      <w:pPr>
        <w:ind w:left="540" w:right="43"/>
        <w:jc w:val="both"/>
        <w:rPr>
          <w:rFonts w:ascii="Arial" w:hAnsi="Arial" w:cs="Arial"/>
        </w:rPr>
      </w:pPr>
      <w:bookmarkStart w:id="84" w:name="_Toc48377893"/>
      <w:r w:rsidRPr="001934C3">
        <w:rPr>
          <w:rFonts w:ascii="Arial" w:hAnsi="Arial" w:cs="Arial"/>
        </w:rPr>
        <w:t>1. pielikums – Tehniskā</w:t>
      </w:r>
      <w:r w:rsidR="00E36B88" w:rsidRPr="001934C3">
        <w:rPr>
          <w:rFonts w:ascii="Arial" w:hAnsi="Arial" w:cs="Arial"/>
        </w:rPr>
        <w:t xml:space="preserve"> </w:t>
      </w:r>
      <w:r w:rsidRPr="001934C3">
        <w:rPr>
          <w:rFonts w:ascii="Arial" w:hAnsi="Arial" w:cs="Arial"/>
        </w:rPr>
        <w:t xml:space="preserve">specifikācija </w:t>
      </w:r>
      <w:r w:rsidR="00E36B88" w:rsidRPr="001934C3">
        <w:rPr>
          <w:rFonts w:ascii="Arial" w:hAnsi="Arial" w:cs="Arial"/>
        </w:rPr>
        <w:t>un tehnisk</w:t>
      </w:r>
      <w:bookmarkEnd w:id="84"/>
      <w:r w:rsidRPr="001934C3">
        <w:rPr>
          <w:rFonts w:ascii="Arial" w:hAnsi="Arial" w:cs="Arial"/>
        </w:rPr>
        <w:t>ais piedāvājums</w:t>
      </w:r>
      <w:r w:rsidR="00E36B88" w:rsidRPr="001934C3">
        <w:rPr>
          <w:rFonts w:ascii="Arial" w:hAnsi="Arial" w:cs="Arial"/>
        </w:rPr>
        <w:t>;</w:t>
      </w:r>
    </w:p>
    <w:p w:rsidR="00E36B88" w:rsidRPr="001934C3" w:rsidRDefault="00E36B88" w:rsidP="005706D0">
      <w:pPr>
        <w:ind w:left="540" w:right="43"/>
        <w:jc w:val="both"/>
        <w:rPr>
          <w:rFonts w:ascii="Arial" w:hAnsi="Arial" w:cs="Arial"/>
        </w:rPr>
      </w:pPr>
      <w:r w:rsidRPr="001934C3">
        <w:rPr>
          <w:rFonts w:ascii="Arial" w:hAnsi="Arial" w:cs="Arial"/>
        </w:rPr>
        <w:t xml:space="preserve">2. pielikums – </w:t>
      </w:r>
      <w:r w:rsidR="00A11297" w:rsidRPr="001934C3">
        <w:rPr>
          <w:rFonts w:ascii="Arial" w:hAnsi="Arial" w:cs="Arial"/>
        </w:rPr>
        <w:t>Finanšu piedāvājums</w:t>
      </w:r>
      <w:r w:rsidRPr="001934C3">
        <w:rPr>
          <w:rFonts w:ascii="Arial" w:hAnsi="Arial" w:cs="Arial"/>
        </w:rPr>
        <w:t>.</w:t>
      </w:r>
    </w:p>
    <w:p w:rsidR="00E36B88" w:rsidRPr="001934C3" w:rsidRDefault="00E36B88" w:rsidP="005706D0">
      <w:pPr>
        <w:numPr>
          <w:ilvl w:val="1"/>
          <w:numId w:val="2"/>
        </w:numPr>
        <w:tabs>
          <w:tab w:val="clear" w:pos="792"/>
          <w:tab w:val="num" w:pos="540"/>
        </w:tabs>
        <w:ind w:left="540" w:right="43" w:hanging="540"/>
        <w:jc w:val="both"/>
        <w:rPr>
          <w:rFonts w:ascii="Arial" w:hAnsi="Arial" w:cs="Arial"/>
        </w:rPr>
      </w:pPr>
      <w:r w:rsidRPr="001934C3">
        <w:rPr>
          <w:rFonts w:ascii="Arial" w:hAnsi="Arial" w:cs="Arial"/>
        </w:rPr>
        <w:t>Pusēm ir jāinformē vienai otra nedēļas laikā par savu rekvizītu (nosaukuma, adreses, norēķinu rekvizītu un tml.) un par Līguma izpildi atbildīgo personu maiņu rakstiski, apstiprinot ar parakstu un zīmogu. Šādā gadījumā atsevišķi Līguma grozījumi netiek gatavoti.</w:t>
      </w:r>
    </w:p>
    <w:p w:rsidR="00E36B88" w:rsidRPr="001934C3" w:rsidRDefault="00E36B88" w:rsidP="005706D0">
      <w:pPr>
        <w:ind w:right="43"/>
        <w:jc w:val="both"/>
        <w:rPr>
          <w:rFonts w:ascii="Arial" w:hAnsi="Arial" w:cs="Arial"/>
        </w:rPr>
      </w:pPr>
    </w:p>
    <w:p w:rsidR="00E36B88" w:rsidRPr="001934C3" w:rsidRDefault="00E36B88" w:rsidP="005706D0">
      <w:pPr>
        <w:ind w:right="43"/>
        <w:jc w:val="both"/>
        <w:rPr>
          <w:rFonts w:ascii="Arial" w:hAnsi="Arial" w:cs="Arial"/>
        </w:rPr>
      </w:pPr>
    </w:p>
    <w:p w:rsidR="00E36B88" w:rsidRPr="001934C3" w:rsidRDefault="00E36B88" w:rsidP="005706D0">
      <w:pPr>
        <w:numPr>
          <w:ilvl w:val="0"/>
          <w:numId w:val="2"/>
        </w:numPr>
        <w:ind w:right="43"/>
        <w:jc w:val="center"/>
        <w:rPr>
          <w:rFonts w:ascii="Arial" w:hAnsi="Arial" w:cs="Arial"/>
          <w:b/>
        </w:rPr>
      </w:pPr>
      <w:bookmarkStart w:id="85" w:name="_Toc57018962"/>
      <w:bookmarkStart w:id="86" w:name="_Toc57088638"/>
      <w:bookmarkStart w:id="87" w:name="_Toc57088694"/>
      <w:bookmarkStart w:id="88" w:name="_Toc73325469"/>
      <w:bookmarkStart w:id="89" w:name="_Toc87150441"/>
      <w:bookmarkStart w:id="90" w:name="_Toc87150925"/>
      <w:bookmarkStart w:id="91" w:name="_Toc87153294"/>
      <w:bookmarkStart w:id="92" w:name="_Toc87851225"/>
      <w:bookmarkStart w:id="93" w:name="_Toc87947361"/>
      <w:bookmarkStart w:id="94" w:name="_Toc87947382"/>
      <w:r w:rsidRPr="001934C3">
        <w:rPr>
          <w:rFonts w:ascii="Arial" w:hAnsi="Arial" w:cs="Arial"/>
          <w:b/>
        </w:rPr>
        <w:t>Pušu juridiskās adreses</w:t>
      </w:r>
      <w:bookmarkEnd w:id="85"/>
      <w:bookmarkEnd w:id="86"/>
      <w:bookmarkEnd w:id="87"/>
      <w:r w:rsidRPr="001934C3">
        <w:rPr>
          <w:rFonts w:ascii="Arial" w:hAnsi="Arial" w:cs="Arial"/>
          <w:b/>
        </w:rPr>
        <w:t>, bankas rekvizīti un paraksti</w:t>
      </w:r>
      <w:bookmarkEnd w:id="88"/>
      <w:bookmarkEnd w:id="89"/>
      <w:bookmarkEnd w:id="90"/>
      <w:bookmarkEnd w:id="91"/>
      <w:bookmarkEnd w:id="92"/>
      <w:bookmarkEnd w:id="93"/>
      <w:bookmarkEnd w:id="94"/>
    </w:p>
    <w:p w:rsidR="00E36B88" w:rsidRPr="001934C3" w:rsidRDefault="00E36B88" w:rsidP="005706D0">
      <w:pPr>
        <w:ind w:left="360" w:right="43"/>
        <w:rPr>
          <w:rFonts w:ascii="Arial" w:hAnsi="Arial" w:cs="Arial"/>
          <w:b/>
        </w:rPr>
      </w:pPr>
    </w:p>
    <w:tbl>
      <w:tblPr>
        <w:tblW w:w="10080" w:type="dxa"/>
        <w:tblInd w:w="-72" w:type="dxa"/>
        <w:tblLayout w:type="fixed"/>
        <w:tblLook w:val="0000" w:firstRow="0" w:lastRow="0" w:firstColumn="0" w:lastColumn="0" w:noHBand="0" w:noVBand="0"/>
      </w:tblPr>
      <w:tblGrid>
        <w:gridCol w:w="5040"/>
        <w:gridCol w:w="5040"/>
      </w:tblGrid>
      <w:tr w:rsidR="003462BE" w:rsidRPr="001934C3" w:rsidTr="003462BE">
        <w:tc>
          <w:tcPr>
            <w:tcW w:w="5040" w:type="dxa"/>
          </w:tcPr>
          <w:p w:rsidR="003462BE" w:rsidRPr="001934C3" w:rsidRDefault="003462BE" w:rsidP="005706D0">
            <w:pPr>
              <w:ind w:right="43"/>
              <w:jc w:val="both"/>
              <w:rPr>
                <w:rFonts w:ascii="Arial" w:hAnsi="Arial" w:cs="Arial"/>
                <w:b/>
                <w:bCs/>
              </w:rPr>
            </w:pPr>
          </w:p>
        </w:tc>
        <w:tc>
          <w:tcPr>
            <w:tcW w:w="5040" w:type="dxa"/>
          </w:tcPr>
          <w:p w:rsidR="003462BE" w:rsidRPr="001934C3" w:rsidRDefault="003462BE" w:rsidP="005706D0">
            <w:pPr>
              <w:ind w:right="43"/>
              <w:jc w:val="both"/>
              <w:rPr>
                <w:rFonts w:ascii="Arial" w:hAnsi="Arial" w:cs="Arial"/>
                <w:b/>
                <w:bCs/>
              </w:rPr>
            </w:pPr>
          </w:p>
        </w:tc>
      </w:tr>
      <w:tr w:rsidR="003462BE" w:rsidRPr="001934C3" w:rsidTr="003462BE">
        <w:tc>
          <w:tcPr>
            <w:tcW w:w="5040" w:type="dxa"/>
          </w:tcPr>
          <w:p w:rsidR="003462BE" w:rsidRPr="001934C3" w:rsidRDefault="003462BE" w:rsidP="005706D0">
            <w:pPr>
              <w:ind w:right="43"/>
              <w:rPr>
                <w:rFonts w:ascii="Arial" w:hAnsi="Arial" w:cs="Arial"/>
                <w:b/>
              </w:rPr>
            </w:pPr>
            <w:r w:rsidRPr="001934C3">
              <w:rPr>
                <w:rFonts w:ascii="Arial" w:hAnsi="Arial" w:cs="Arial"/>
                <w:b/>
              </w:rPr>
              <w:t>Pasūtītājs</w:t>
            </w:r>
          </w:p>
        </w:tc>
        <w:tc>
          <w:tcPr>
            <w:tcW w:w="5040" w:type="dxa"/>
          </w:tcPr>
          <w:p w:rsidR="003462BE" w:rsidRPr="001934C3" w:rsidRDefault="003462BE" w:rsidP="005706D0">
            <w:pPr>
              <w:ind w:right="43"/>
              <w:rPr>
                <w:rFonts w:ascii="Arial" w:hAnsi="Arial" w:cs="Arial"/>
                <w:b/>
              </w:rPr>
            </w:pPr>
            <w:r w:rsidRPr="001934C3">
              <w:rPr>
                <w:rFonts w:ascii="Arial" w:hAnsi="Arial" w:cs="Arial"/>
                <w:b/>
              </w:rPr>
              <w:t>Izpildītājs</w:t>
            </w:r>
          </w:p>
        </w:tc>
      </w:tr>
      <w:tr w:rsidR="003462BE" w:rsidRPr="001934C3" w:rsidTr="003462BE">
        <w:tc>
          <w:tcPr>
            <w:tcW w:w="5040" w:type="dxa"/>
          </w:tcPr>
          <w:p w:rsidR="003462BE" w:rsidRPr="001934C3" w:rsidRDefault="003462BE" w:rsidP="005706D0">
            <w:pPr>
              <w:pStyle w:val="BodyText2"/>
              <w:spacing w:line="240" w:lineRule="auto"/>
              <w:ind w:right="43"/>
              <w:rPr>
                <w:rFonts w:ascii="Arial" w:hAnsi="Arial" w:cs="Arial"/>
                <w:b/>
              </w:rPr>
            </w:pPr>
            <w:r w:rsidRPr="001934C3">
              <w:rPr>
                <w:rFonts w:ascii="Arial" w:hAnsi="Arial" w:cs="Arial"/>
                <w:b/>
              </w:rPr>
              <w:t xml:space="preserve">SIA “Latvijas Lauku konsultāciju un </w:t>
            </w:r>
          </w:p>
          <w:p w:rsidR="003462BE" w:rsidRPr="001934C3" w:rsidRDefault="003462BE" w:rsidP="005706D0">
            <w:pPr>
              <w:pStyle w:val="BodyText2"/>
              <w:spacing w:line="240" w:lineRule="auto"/>
              <w:ind w:right="43"/>
              <w:rPr>
                <w:rFonts w:ascii="Arial" w:hAnsi="Arial" w:cs="Arial"/>
              </w:rPr>
            </w:pPr>
            <w:r w:rsidRPr="001934C3">
              <w:rPr>
                <w:rFonts w:ascii="Arial" w:hAnsi="Arial" w:cs="Arial"/>
                <w:b/>
              </w:rPr>
              <w:t>izglītības centrs”</w:t>
            </w:r>
            <w:r w:rsidRPr="001934C3">
              <w:rPr>
                <w:rFonts w:ascii="Arial" w:hAnsi="Arial" w:cs="Arial"/>
                <w:b/>
              </w:rPr>
              <w:br/>
            </w:r>
            <w:r w:rsidRPr="001934C3">
              <w:rPr>
                <w:rFonts w:ascii="Arial" w:hAnsi="Arial" w:cs="Arial"/>
              </w:rPr>
              <w:t>Reģ. Nr. 40003347699</w:t>
            </w:r>
          </w:p>
          <w:p w:rsidR="003462BE" w:rsidRPr="001934C3" w:rsidRDefault="003462BE" w:rsidP="005706D0">
            <w:pPr>
              <w:pStyle w:val="BodyText2"/>
              <w:spacing w:line="240" w:lineRule="auto"/>
              <w:ind w:right="43"/>
              <w:rPr>
                <w:rFonts w:ascii="Arial" w:hAnsi="Arial" w:cs="Arial"/>
              </w:rPr>
            </w:pPr>
            <w:r w:rsidRPr="001934C3">
              <w:rPr>
                <w:rFonts w:ascii="Arial" w:hAnsi="Arial" w:cs="Arial"/>
              </w:rPr>
              <w:t>PVN reģ.Nr. LV40003347699</w:t>
            </w:r>
          </w:p>
          <w:p w:rsidR="003462BE" w:rsidRPr="001934C3" w:rsidRDefault="003462BE" w:rsidP="005706D0">
            <w:pPr>
              <w:pStyle w:val="BodyText2"/>
              <w:spacing w:line="240" w:lineRule="auto"/>
              <w:ind w:right="43"/>
              <w:rPr>
                <w:rFonts w:ascii="Arial" w:hAnsi="Arial" w:cs="Arial"/>
              </w:rPr>
            </w:pPr>
            <w:r w:rsidRPr="001934C3">
              <w:rPr>
                <w:rFonts w:ascii="Arial" w:hAnsi="Arial" w:cs="Arial"/>
              </w:rPr>
              <w:t>Rīgas iela 34, Ozolniekos,</w:t>
            </w:r>
          </w:p>
          <w:p w:rsidR="003462BE" w:rsidRPr="001934C3" w:rsidRDefault="003462BE" w:rsidP="005706D0">
            <w:pPr>
              <w:pStyle w:val="BodyText2"/>
              <w:spacing w:line="240" w:lineRule="auto"/>
              <w:ind w:right="43"/>
              <w:rPr>
                <w:rFonts w:ascii="Arial" w:hAnsi="Arial" w:cs="Arial"/>
              </w:rPr>
            </w:pPr>
            <w:r w:rsidRPr="001934C3">
              <w:rPr>
                <w:rFonts w:ascii="Arial" w:hAnsi="Arial" w:cs="Arial"/>
              </w:rPr>
              <w:t xml:space="preserve">Ozolnieku pagasts, Ozolnieku novads, </w:t>
            </w:r>
          </w:p>
          <w:p w:rsidR="003462BE" w:rsidRPr="001934C3" w:rsidRDefault="003462BE" w:rsidP="005706D0">
            <w:pPr>
              <w:pStyle w:val="BodyText2"/>
              <w:spacing w:line="240" w:lineRule="auto"/>
              <w:ind w:right="43"/>
              <w:rPr>
                <w:rFonts w:ascii="Arial" w:hAnsi="Arial" w:cs="Arial"/>
              </w:rPr>
            </w:pPr>
            <w:r w:rsidRPr="001934C3">
              <w:rPr>
                <w:rFonts w:ascii="Arial" w:hAnsi="Arial" w:cs="Arial"/>
              </w:rPr>
              <w:t>LV-3018</w:t>
            </w:r>
          </w:p>
          <w:p w:rsidR="003462BE" w:rsidRPr="001934C3" w:rsidRDefault="003462BE" w:rsidP="005706D0">
            <w:pPr>
              <w:pStyle w:val="BodyText2"/>
              <w:spacing w:line="240" w:lineRule="auto"/>
              <w:ind w:right="43"/>
              <w:rPr>
                <w:rFonts w:ascii="Arial" w:hAnsi="Arial" w:cs="Arial"/>
              </w:rPr>
            </w:pPr>
            <w:r w:rsidRPr="001934C3">
              <w:rPr>
                <w:rFonts w:ascii="Arial" w:hAnsi="Arial" w:cs="Arial"/>
              </w:rPr>
              <w:t>Konts: LV37HABA0551020368284</w:t>
            </w:r>
          </w:p>
          <w:p w:rsidR="003462BE" w:rsidRPr="001934C3" w:rsidRDefault="003462BE" w:rsidP="005706D0">
            <w:pPr>
              <w:pStyle w:val="BodyText2"/>
              <w:spacing w:line="240" w:lineRule="auto"/>
              <w:ind w:right="43"/>
              <w:rPr>
                <w:rFonts w:ascii="Arial" w:hAnsi="Arial" w:cs="Arial"/>
              </w:rPr>
            </w:pPr>
          </w:p>
          <w:p w:rsidR="003462BE" w:rsidRPr="001934C3" w:rsidRDefault="003462BE" w:rsidP="005706D0">
            <w:pPr>
              <w:pStyle w:val="BodyText2"/>
              <w:spacing w:line="240" w:lineRule="auto"/>
              <w:ind w:right="43"/>
              <w:rPr>
                <w:rFonts w:ascii="Arial" w:hAnsi="Arial" w:cs="Arial"/>
              </w:rPr>
            </w:pPr>
          </w:p>
          <w:p w:rsidR="003462BE" w:rsidRPr="001934C3" w:rsidRDefault="003462BE" w:rsidP="005706D0">
            <w:pPr>
              <w:pStyle w:val="BodyText2"/>
              <w:spacing w:line="240" w:lineRule="auto"/>
              <w:ind w:right="43"/>
              <w:rPr>
                <w:rFonts w:ascii="Arial" w:hAnsi="Arial" w:cs="Arial"/>
              </w:rPr>
            </w:pPr>
            <w:r w:rsidRPr="001934C3">
              <w:rPr>
                <w:rFonts w:ascii="Arial" w:hAnsi="Arial" w:cs="Arial"/>
              </w:rPr>
              <w:t>_____________________ M.Cimermanis</w:t>
            </w:r>
          </w:p>
          <w:p w:rsidR="003462BE" w:rsidRPr="001934C3" w:rsidRDefault="003462BE" w:rsidP="005706D0">
            <w:pPr>
              <w:ind w:right="43"/>
              <w:jc w:val="both"/>
              <w:rPr>
                <w:rFonts w:ascii="Arial" w:hAnsi="Arial" w:cs="Arial"/>
                <w:i/>
              </w:rPr>
            </w:pPr>
            <w:r w:rsidRPr="001934C3">
              <w:rPr>
                <w:rFonts w:ascii="Arial" w:hAnsi="Arial" w:cs="Arial"/>
                <w:i/>
              </w:rPr>
              <w:t>z.v.</w:t>
            </w:r>
          </w:p>
        </w:tc>
        <w:tc>
          <w:tcPr>
            <w:tcW w:w="5040" w:type="dxa"/>
          </w:tcPr>
          <w:p w:rsidR="003462BE" w:rsidRPr="001934C3" w:rsidRDefault="003462BE" w:rsidP="005706D0">
            <w:pPr>
              <w:ind w:right="43"/>
              <w:jc w:val="both"/>
              <w:rPr>
                <w:rFonts w:ascii="Arial" w:hAnsi="Arial" w:cs="Arial"/>
                <w:b/>
              </w:rPr>
            </w:pPr>
            <w:r w:rsidRPr="001934C3">
              <w:rPr>
                <w:rFonts w:ascii="Arial" w:hAnsi="Arial" w:cs="Arial"/>
                <w:b/>
              </w:rPr>
              <w:lastRenderedPageBreak/>
              <w:t>SIA „AUTOBRAVA”</w:t>
            </w:r>
          </w:p>
          <w:p w:rsidR="003462BE" w:rsidRPr="001934C3" w:rsidRDefault="003462BE" w:rsidP="005706D0">
            <w:pPr>
              <w:ind w:right="43"/>
              <w:jc w:val="both"/>
              <w:rPr>
                <w:rFonts w:ascii="Arial" w:hAnsi="Arial" w:cs="Arial"/>
                <w:i/>
              </w:rPr>
            </w:pPr>
          </w:p>
          <w:p w:rsidR="003462BE" w:rsidRPr="001934C3" w:rsidRDefault="003462BE" w:rsidP="005706D0">
            <w:pPr>
              <w:spacing w:line="360" w:lineRule="auto"/>
              <w:ind w:right="43"/>
              <w:jc w:val="both"/>
              <w:rPr>
                <w:rFonts w:ascii="Arial" w:hAnsi="Arial" w:cs="Arial"/>
              </w:rPr>
            </w:pPr>
            <w:r w:rsidRPr="001934C3">
              <w:rPr>
                <w:rFonts w:ascii="Arial" w:hAnsi="Arial" w:cs="Arial"/>
              </w:rPr>
              <w:t>Reģ.Nr. 40103325594</w:t>
            </w:r>
          </w:p>
          <w:p w:rsidR="003462BE" w:rsidRPr="001934C3" w:rsidRDefault="003462BE" w:rsidP="005706D0">
            <w:pPr>
              <w:spacing w:line="360" w:lineRule="auto"/>
              <w:ind w:right="43"/>
              <w:jc w:val="both"/>
              <w:rPr>
                <w:rFonts w:ascii="Arial" w:hAnsi="Arial" w:cs="Arial"/>
              </w:rPr>
            </w:pPr>
            <w:r w:rsidRPr="001934C3">
              <w:rPr>
                <w:rFonts w:ascii="Arial" w:hAnsi="Arial" w:cs="Arial"/>
              </w:rPr>
              <w:t>PVN reģ.Nr. LV40103325594</w:t>
            </w:r>
          </w:p>
          <w:p w:rsidR="003462BE" w:rsidRPr="001934C3" w:rsidRDefault="003462BE" w:rsidP="005706D0">
            <w:pPr>
              <w:spacing w:line="360" w:lineRule="auto"/>
              <w:ind w:right="43"/>
              <w:jc w:val="both"/>
              <w:rPr>
                <w:rFonts w:ascii="Arial" w:hAnsi="Arial" w:cs="Arial"/>
              </w:rPr>
            </w:pPr>
            <w:r w:rsidRPr="001934C3">
              <w:rPr>
                <w:rFonts w:ascii="Arial" w:hAnsi="Arial" w:cs="Arial"/>
              </w:rPr>
              <w:t>Biķernieku iela 145, Rīga, LV-1021</w:t>
            </w:r>
          </w:p>
          <w:p w:rsidR="003462BE" w:rsidRPr="001934C3" w:rsidRDefault="003462BE" w:rsidP="005706D0">
            <w:pPr>
              <w:spacing w:line="360" w:lineRule="auto"/>
              <w:ind w:right="43"/>
              <w:jc w:val="both"/>
              <w:rPr>
                <w:rFonts w:ascii="Arial" w:hAnsi="Arial" w:cs="Arial"/>
              </w:rPr>
            </w:pPr>
          </w:p>
          <w:p w:rsidR="003462BE" w:rsidRPr="001934C3" w:rsidRDefault="003462BE" w:rsidP="005706D0">
            <w:pPr>
              <w:spacing w:line="360" w:lineRule="auto"/>
              <w:ind w:right="43"/>
              <w:jc w:val="both"/>
              <w:rPr>
                <w:rFonts w:ascii="Arial" w:hAnsi="Arial" w:cs="Arial"/>
              </w:rPr>
            </w:pPr>
          </w:p>
          <w:p w:rsidR="003462BE" w:rsidRPr="001934C3" w:rsidRDefault="003462BE" w:rsidP="005706D0">
            <w:pPr>
              <w:spacing w:line="360" w:lineRule="auto"/>
              <w:ind w:right="43"/>
              <w:jc w:val="both"/>
              <w:rPr>
                <w:rFonts w:ascii="Arial" w:hAnsi="Arial" w:cs="Arial"/>
              </w:rPr>
            </w:pPr>
            <w:r w:rsidRPr="001934C3">
              <w:rPr>
                <w:rFonts w:ascii="Arial" w:hAnsi="Arial" w:cs="Arial"/>
              </w:rPr>
              <w:t>Konts: LV59NDEA0000082986676</w:t>
            </w:r>
          </w:p>
          <w:p w:rsidR="003462BE" w:rsidRPr="001934C3" w:rsidRDefault="003462BE" w:rsidP="005706D0">
            <w:pPr>
              <w:ind w:right="43"/>
              <w:jc w:val="both"/>
              <w:rPr>
                <w:rFonts w:ascii="Arial" w:hAnsi="Arial" w:cs="Arial"/>
                <w:i/>
              </w:rPr>
            </w:pPr>
          </w:p>
          <w:p w:rsidR="003462BE" w:rsidRPr="001934C3" w:rsidRDefault="003462BE" w:rsidP="005706D0">
            <w:pPr>
              <w:ind w:right="43"/>
              <w:jc w:val="both"/>
              <w:rPr>
                <w:rFonts w:ascii="Arial" w:hAnsi="Arial" w:cs="Arial"/>
                <w:i/>
              </w:rPr>
            </w:pPr>
          </w:p>
          <w:p w:rsidR="003462BE" w:rsidRPr="001934C3" w:rsidRDefault="003462BE" w:rsidP="005706D0">
            <w:pPr>
              <w:ind w:right="43"/>
              <w:jc w:val="both"/>
              <w:rPr>
                <w:rFonts w:ascii="Arial" w:hAnsi="Arial" w:cs="Arial"/>
                <w:i/>
              </w:rPr>
            </w:pPr>
          </w:p>
          <w:p w:rsidR="00222A96" w:rsidRDefault="003462BE" w:rsidP="005706D0">
            <w:pPr>
              <w:ind w:right="43"/>
              <w:jc w:val="both"/>
            </w:pPr>
            <w:r w:rsidRPr="001934C3">
              <w:rPr>
                <w:rFonts w:ascii="Arial" w:hAnsi="Arial" w:cs="Arial"/>
              </w:rPr>
              <w:lastRenderedPageBreak/>
              <w:t xml:space="preserve">_____________________ </w:t>
            </w:r>
            <w:r w:rsidR="00222A96" w:rsidRPr="00222A96">
              <w:rPr>
                <w:rFonts w:ascii="Arial" w:hAnsi="Arial" w:cs="Arial"/>
              </w:rPr>
              <w:t>G. Gorbačova</w:t>
            </w:r>
          </w:p>
          <w:p w:rsidR="00222A96" w:rsidRDefault="00222A96" w:rsidP="005706D0">
            <w:pPr>
              <w:ind w:right="43"/>
              <w:jc w:val="both"/>
              <w:rPr>
                <w:rFonts w:ascii="Arial" w:hAnsi="Arial" w:cs="Arial"/>
                <w:i/>
              </w:rPr>
            </w:pPr>
          </w:p>
          <w:p w:rsidR="003462BE" w:rsidRPr="001934C3" w:rsidRDefault="003462BE" w:rsidP="005706D0">
            <w:pPr>
              <w:ind w:right="43"/>
              <w:jc w:val="both"/>
              <w:rPr>
                <w:rFonts w:ascii="Arial" w:hAnsi="Arial" w:cs="Arial"/>
                <w:i/>
              </w:rPr>
            </w:pPr>
            <w:r w:rsidRPr="001934C3">
              <w:rPr>
                <w:rFonts w:ascii="Arial" w:hAnsi="Arial" w:cs="Arial"/>
                <w:i/>
              </w:rPr>
              <w:t>z.v.</w:t>
            </w:r>
          </w:p>
          <w:p w:rsidR="003462BE" w:rsidRPr="001934C3" w:rsidRDefault="003462BE" w:rsidP="005706D0">
            <w:pPr>
              <w:ind w:right="43"/>
              <w:jc w:val="both"/>
              <w:rPr>
                <w:rFonts w:ascii="Arial" w:hAnsi="Arial" w:cs="Arial"/>
              </w:rPr>
            </w:pPr>
          </w:p>
        </w:tc>
      </w:tr>
    </w:tbl>
    <w:p w:rsidR="00E36B88" w:rsidRPr="001934C3" w:rsidRDefault="00E36B88" w:rsidP="005706D0">
      <w:pPr>
        <w:ind w:right="43"/>
        <w:jc w:val="right"/>
        <w:rPr>
          <w:rFonts w:ascii="Arial" w:hAnsi="Arial" w:cs="Arial"/>
          <w:b/>
          <w:u w:val="single"/>
        </w:rPr>
      </w:pPr>
    </w:p>
    <w:p w:rsidR="006B23A5" w:rsidRPr="001934C3" w:rsidRDefault="006B23A5" w:rsidP="005706D0">
      <w:pPr>
        <w:ind w:right="43"/>
        <w:jc w:val="right"/>
        <w:rPr>
          <w:rFonts w:ascii="Arial" w:hAnsi="Arial" w:cs="Arial"/>
          <w:b/>
          <w:u w:val="single"/>
        </w:rPr>
      </w:pPr>
    </w:p>
    <w:p w:rsidR="006B23A5" w:rsidRPr="001934C3" w:rsidRDefault="006B23A5" w:rsidP="005706D0">
      <w:pPr>
        <w:ind w:right="43"/>
        <w:jc w:val="right"/>
        <w:rPr>
          <w:rFonts w:ascii="Arial" w:hAnsi="Arial" w:cs="Arial"/>
          <w:b/>
          <w:u w:val="single"/>
        </w:rPr>
      </w:pPr>
    </w:p>
    <w:p w:rsidR="006B23A5" w:rsidRPr="001934C3" w:rsidRDefault="006B23A5" w:rsidP="005706D0">
      <w:pPr>
        <w:ind w:right="43"/>
        <w:jc w:val="right"/>
        <w:rPr>
          <w:rFonts w:ascii="Arial" w:hAnsi="Arial" w:cs="Arial"/>
          <w:b/>
          <w:u w:val="single"/>
        </w:rPr>
      </w:pPr>
    </w:p>
    <w:p w:rsidR="00FF7935" w:rsidRPr="001934C3" w:rsidRDefault="00FF7935" w:rsidP="005706D0">
      <w:pPr>
        <w:ind w:right="43"/>
        <w:jc w:val="right"/>
        <w:rPr>
          <w:rFonts w:ascii="Arial" w:hAnsi="Arial" w:cs="Arial"/>
          <w:b/>
          <w:u w:val="single"/>
        </w:rPr>
      </w:pPr>
    </w:p>
    <w:p w:rsidR="00FF7935" w:rsidRPr="001934C3" w:rsidRDefault="00FF7935" w:rsidP="005706D0">
      <w:pPr>
        <w:ind w:right="43"/>
        <w:jc w:val="right"/>
        <w:rPr>
          <w:rFonts w:ascii="Arial" w:hAnsi="Arial" w:cs="Arial"/>
          <w:b/>
          <w:u w:val="single"/>
        </w:rPr>
      </w:pPr>
    </w:p>
    <w:p w:rsidR="00FF7935" w:rsidRPr="001934C3" w:rsidRDefault="00FF7935" w:rsidP="005706D0">
      <w:pPr>
        <w:ind w:right="43"/>
        <w:jc w:val="right"/>
        <w:rPr>
          <w:rFonts w:ascii="Arial" w:hAnsi="Arial" w:cs="Arial"/>
          <w:b/>
          <w:u w:val="single"/>
        </w:rPr>
      </w:pPr>
    </w:p>
    <w:p w:rsidR="00AF7157" w:rsidRPr="001934C3" w:rsidRDefault="00AF7157" w:rsidP="005706D0">
      <w:pPr>
        <w:ind w:right="43"/>
        <w:jc w:val="right"/>
        <w:rPr>
          <w:rFonts w:ascii="Arial" w:hAnsi="Arial" w:cs="Arial"/>
          <w:b/>
          <w:u w:val="single"/>
        </w:rPr>
      </w:pPr>
    </w:p>
    <w:p w:rsidR="00AF7157" w:rsidRDefault="00AF7157" w:rsidP="005706D0">
      <w:pPr>
        <w:ind w:right="43"/>
        <w:jc w:val="right"/>
        <w:rPr>
          <w:rFonts w:ascii="Arial" w:hAnsi="Arial" w:cs="Arial"/>
          <w:b/>
          <w:u w:val="single"/>
        </w:rPr>
      </w:pPr>
    </w:p>
    <w:p w:rsidR="001934C3" w:rsidRDefault="001934C3" w:rsidP="005706D0">
      <w:pPr>
        <w:ind w:right="43"/>
        <w:jc w:val="right"/>
        <w:rPr>
          <w:rFonts w:ascii="Arial" w:hAnsi="Arial" w:cs="Arial"/>
          <w:b/>
          <w:u w:val="single"/>
        </w:rPr>
      </w:pPr>
    </w:p>
    <w:p w:rsidR="001934C3" w:rsidRDefault="001934C3" w:rsidP="005706D0">
      <w:pPr>
        <w:ind w:right="43"/>
        <w:jc w:val="right"/>
        <w:rPr>
          <w:rFonts w:ascii="Arial" w:hAnsi="Arial" w:cs="Arial"/>
          <w:b/>
          <w:u w:val="single"/>
        </w:rPr>
      </w:pPr>
    </w:p>
    <w:p w:rsidR="001934C3" w:rsidRDefault="001934C3" w:rsidP="005706D0">
      <w:pPr>
        <w:ind w:right="43"/>
        <w:jc w:val="right"/>
        <w:rPr>
          <w:rFonts w:ascii="Arial" w:hAnsi="Arial" w:cs="Arial"/>
          <w:b/>
          <w:u w:val="single"/>
        </w:rPr>
      </w:pPr>
    </w:p>
    <w:p w:rsidR="001934C3" w:rsidRDefault="001934C3" w:rsidP="005706D0">
      <w:pPr>
        <w:ind w:right="43"/>
        <w:jc w:val="right"/>
        <w:rPr>
          <w:rFonts w:ascii="Arial" w:hAnsi="Arial" w:cs="Arial"/>
          <w:b/>
          <w:u w:val="single"/>
        </w:rPr>
      </w:pPr>
    </w:p>
    <w:p w:rsidR="001934C3" w:rsidRDefault="001934C3" w:rsidP="005706D0">
      <w:pPr>
        <w:ind w:right="43"/>
        <w:jc w:val="right"/>
        <w:rPr>
          <w:rFonts w:ascii="Arial" w:hAnsi="Arial" w:cs="Arial"/>
          <w:b/>
          <w:u w:val="single"/>
        </w:rPr>
      </w:pPr>
    </w:p>
    <w:p w:rsidR="001934C3" w:rsidRDefault="001934C3" w:rsidP="005706D0">
      <w:pPr>
        <w:ind w:right="43"/>
        <w:jc w:val="right"/>
        <w:rPr>
          <w:rFonts w:ascii="Arial" w:hAnsi="Arial" w:cs="Arial"/>
          <w:b/>
          <w:u w:val="single"/>
        </w:rPr>
      </w:pPr>
    </w:p>
    <w:p w:rsidR="001934C3" w:rsidRDefault="001934C3" w:rsidP="005706D0">
      <w:pPr>
        <w:ind w:right="43"/>
        <w:jc w:val="right"/>
        <w:rPr>
          <w:rFonts w:ascii="Arial" w:hAnsi="Arial" w:cs="Arial"/>
          <w:b/>
          <w:u w:val="single"/>
        </w:rPr>
      </w:pPr>
    </w:p>
    <w:p w:rsidR="001934C3" w:rsidRDefault="001934C3" w:rsidP="005706D0">
      <w:pPr>
        <w:ind w:right="43"/>
        <w:jc w:val="right"/>
        <w:rPr>
          <w:rFonts w:ascii="Arial" w:hAnsi="Arial" w:cs="Arial"/>
          <w:b/>
          <w:u w:val="single"/>
        </w:rPr>
      </w:pPr>
    </w:p>
    <w:p w:rsidR="001934C3" w:rsidRPr="001934C3" w:rsidRDefault="001934C3" w:rsidP="005706D0">
      <w:pPr>
        <w:ind w:right="43"/>
        <w:jc w:val="right"/>
        <w:rPr>
          <w:rFonts w:ascii="Arial" w:hAnsi="Arial" w:cs="Arial"/>
          <w:b/>
          <w:u w:val="single"/>
        </w:rPr>
      </w:pPr>
    </w:p>
    <w:p w:rsidR="00AF7157" w:rsidRPr="001934C3" w:rsidRDefault="00AF7157" w:rsidP="005706D0">
      <w:pPr>
        <w:ind w:right="43"/>
        <w:jc w:val="right"/>
        <w:rPr>
          <w:rFonts w:ascii="Arial" w:hAnsi="Arial" w:cs="Arial"/>
          <w:b/>
          <w:u w:val="single"/>
        </w:rPr>
      </w:pPr>
    </w:p>
    <w:p w:rsidR="00B77DD7" w:rsidRPr="001934C3" w:rsidRDefault="00B77DD7" w:rsidP="005706D0">
      <w:pPr>
        <w:ind w:right="43"/>
        <w:jc w:val="right"/>
        <w:rPr>
          <w:rFonts w:ascii="Arial" w:hAnsi="Arial" w:cs="Arial"/>
          <w:b/>
          <w:u w:val="single"/>
        </w:rPr>
      </w:pPr>
    </w:p>
    <w:p w:rsidR="00B77DD7" w:rsidRPr="001934C3" w:rsidRDefault="00B77DD7" w:rsidP="005706D0">
      <w:pPr>
        <w:ind w:right="43"/>
        <w:jc w:val="right"/>
        <w:rPr>
          <w:rFonts w:ascii="Arial" w:hAnsi="Arial" w:cs="Arial"/>
          <w:b/>
          <w:u w:val="single"/>
        </w:rPr>
      </w:pPr>
    </w:p>
    <w:p w:rsidR="00C56C70" w:rsidRPr="001934C3" w:rsidRDefault="00C56C70" w:rsidP="005706D0">
      <w:pPr>
        <w:ind w:right="43"/>
        <w:jc w:val="right"/>
        <w:rPr>
          <w:rFonts w:ascii="Arial" w:hAnsi="Arial" w:cs="Arial"/>
        </w:rPr>
      </w:pPr>
      <w:r w:rsidRPr="001934C3">
        <w:rPr>
          <w:rFonts w:ascii="Arial" w:hAnsi="Arial" w:cs="Arial"/>
        </w:rPr>
        <w:t>1.Pielikums</w:t>
      </w:r>
    </w:p>
    <w:p w:rsidR="00B77DD7" w:rsidRPr="001934C3" w:rsidRDefault="00B77DD7" w:rsidP="00D850B1">
      <w:pPr>
        <w:pStyle w:val="Heading1"/>
        <w:numPr>
          <w:ilvl w:val="0"/>
          <w:numId w:val="0"/>
        </w:numPr>
        <w:ind w:left="360"/>
        <w:rPr>
          <w:rFonts w:ascii="Arial" w:hAnsi="Arial" w:cs="Arial"/>
          <w:sz w:val="20"/>
        </w:rPr>
      </w:pPr>
      <w:r w:rsidRPr="001934C3">
        <w:rPr>
          <w:rFonts w:ascii="Arial" w:hAnsi="Arial" w:cs="Arial"/>
          <w:sz w:val="20"/>
        </w:rPr>
        <w:t>TEHNISKAIS PIEDĀVĀJUMS</w:t>
      </w:r>
    </w:p>
    <w:p w:rsidR="00B77DD7" w:rsidRPr="001934C3" w:rsidRDefault="00B77DD7" w:rsidP="00B77DD7">
      <w:pPr>
        <w:rPr>
          <w:rFonts w:ascii="Arial" w:hAnsi="Arial" w:cs="Arial"/>
        </w:rPr>
      </w:pPr>
    </w:p>
    <w:p w:rsidR="001934C3" w:rsidRPr="001934C3" w:rsidRDefault="001934C3" w:rsidP="001934C3">
      <w:pPr>
        <w:rPr>
          <w:rFonts w:ascii="Arial" w:hAnsi="Arial" w:cs="Arial"/>
        </w:rPr>
      </w:pPr>
    </w:p>
    <w:p w:rsidR="001934C3" w:rsidRPr="001934C3" w:rsidRDefault="001934C3" w:rsidP="001934C3">
      <w:pPr>
        <w:rPr>
          <w:rFonts w:ascii="Arial" w:hAnsi="Arial" w:cs="Arial"/>
        </w:rPr>
      </w:pPr>
    </w:p>
    <w:p w:rsidR="008B1A89" w:rsidRPr="001934C3" w:rsidRDefault="008B1A89" w:rsidP="005706D0">
      <w:pPr>
        <w:ind w:right="43"/>
        <w:jc w:val="right"/>
        <w:rPr>
          <w:rFonts w:ascii="Arial" w:hAnsi="Arial" w:cs="Arial"/>
        </w:rPr>
      </w:pPr>
    </w:p>
    <w:p w:rsidR="00AF7157" w:rsidRPr="001934C3" w:rsidRDefault="00AF7157" w:rsidP="005706D0">
      <w:pPr>
        <w:ind w:right="43"/>
        <w:jc w:val="right"/>
        <w:rPr>
          <w:rFonts w:ascii="Arial" w:hAnsi="Arial" w:cs="Arial"/>
        </w:rPr>
      </w:pPr>
    </w:p>
    <w:p w:rsidR="00D66EAC" w:rsidRPr="001934C3" w:rsidRDefault="0073531B" w:rsidP="005706D0">
      <w:pPr>
        <w:ind w:right="43"/>
        <w:jc w:val="right"/>
        <w:rPr>
          <w:rFonts w:ascii="Arial" w:hAnsi="Arial" w:cs="Arial"/>
        </w:rPr>
      </w:pPr>
      <w:r w:rsidRPr="001934C3">
        <w:rPr>
          <w:rFonts w:ascii="Arial" w:hAnsi="Arial" w:cs="Arial"/>
        </w:rPr>
        <w:t>2.</w:t>
      </w:r>
      <w:r w:rsidR="005706D0" w:rsidRPr="001934C3">
        <w:rPr>
          <w:rFonts w:ascii="Arial" w:hAnsi="Arial" w:cs="Arial"/>
        </w:rPr>
        <w:t xml:space="preserve"> </w:t>
      </w:r>
      <w:r w:rsidRPr="001934C3">
        <w:rPr>
          <w:rFonts w:ascii="Arial" w:hAnsi="Arial" w:cs="Arial"/>
        </w:rPr>
        <w:t>Pielikums</w:t>
      </w:r>
    </w:p>
    <w:p w:rsidR="0073531B" w:rsidRPr="001934C3" w:rsidRDefault="0073531B" w:rsidP="005706D0">
      <w:pPr>
        <w:ind w:right="43"/>
        <w:jc w:val="right"/>
        <w:rPr>
          <w:rFonts w:ascii="Arial" w:hAnsi="Arial" w:cs="Arial"/>
        </w:rPr>
      </w:pPr>
    </w:p>
    <w:p w:rsidR="0073531B" w:rsidRPr="001934C3" w:rsidRDefault="0073531B" w:rsidP="005706D0">
      <w:pPr>
        <w:ind w:right="43"/>
        <w:jc w:val="right"/>
        <w:rPr>
          <w:rFonts w:ascii="Arial" w:hAnsi="Arial" w:cs="Arial"/>
        </w:rPr>
      </w:pPr>
    </w:p>
    <w:p w:rsidR="005706D0" w:rsidRPr="001934C3" w:rsidRDefault="005706D0" w:rsidP="005706D0">
      <w:pPr>
        <w:ind w:right="43"/>
        <w:jc w:val="both"/>
        <w:rPr>
          <w:rFonts w:ascii="Arial" w:hAnsi="Arial" w:cs="Arial"/>
          <w:b/>
          <w:i/>
        </w:rPr>
      </w:pPr>
    </w:p>
    <w:p w:rsidR="005706D0" w:rsidRPr="001934C3" w:rsidRDefault="005706D0" w:rsidP="005706D0">
      <w:pPr>
        <w:ind w:right="43"/>
        <w:jc w:val="center"/>
        <w:rPr>
          <w:rFonts w:ascii="Arial" w:hAnsi="Arial" w:cs="Arial"/>
          <w:b/>
          <w:i/>
        </w:rPr>
      </w:pPr>
      <w:r w:rsidRPr="001934C3">
        <w:rPr>
          <w:rFonts w:ascii="Arial" w:hAnsi="Arial" w:cs="Arial"/>
          <w:b/>
          <w:i/>
        </w:rPr>
        <w:t>FINANŠU PIEDĀVĀJUMS</w:t>
      </w:r>
    </w:p>
    <w:p w:rsidR="005706D0" w:rsidRPr="001934C3" w:rsidRDefault="005706D0" w:rsidP="005706D0">
      <w:pPr>
        <w:ind w:right="43"/>
        <w:rPr>
          <w:rFonts w:ascii="Arial" w:hAnsi="Arial" w:cs="Arial"/>
        </w:rPr>
      </w:pPr>
    </w:p>
    <w:p w:rsidR="00E53E8D" w:rsidRPr="0048183D" w:rsidRDefault="00E53E8D" w:rsidP="00E53E8D">
      <w:pPr>
        <w:ind w:right="-111"/>
        <w:jc w:val="center"/>
        <w:rPr>
          <w:rFonts w:ascii="Arial" w:hAnsi="Arial" w:cs="Arial"/>
          <w:sz w:val="22"/>
          <w:szCs w:val="22"/>
        </w:rPr>
      </w:pPr>
      <w:bookmarkStart w:id="95" w:name="_GoBack"/>
      <w:bookmarkEnd w:id="95"/>
      <w:r w:rsidRPr="0048183D">
        <w:rPr>
          <w:rFonts w:ascii="Arial" w:hAnsi="Arial" w:cs="Arial"/>
          <w:sz w:val="22"/>
          <w:szCs w:val="22"/>
        </w:rPr>
        <w:t xml:space="preserve">Iepirkumam „Autotransporta iegāde </w:t>
      </w:r>
      <w:r w:rsidRPr="0048183D">
        <w:rPr>
          <w:rFonts w:ascii="Arial" w:hAnsi="Arial" w:cs="Arial"/>
          <w:spacing w:val="2"/>
          <w:sz w:val="22"/>
          <w:szCs w:val="22"/>
        </w:rPr>
        <w:t>operatīvajā līzingā</w:t>
      </w:r>
      <w:r w:rsidRPr="0048183D">
        <w:rPr>
          <w:rFonts w:ascii="Arial" w:hAnsi="Arial" w:cs="Arial"/>
          <w:sz w:val="22"/>
          <w:szCs w:val="22"/>
        </w:rPr>
        <w:t>”.</w:t>
      </w:r>
    </w:p>
    <w:p w:rsidR="00E53E8D" w:rsidRPr="0048183D" w:rsidRDefault="00E53E8D" w:rsidP="00E53E8D">
      <w:pPr>
        <w:jc w:val="center"/>
        <w:rPr>
          <w:rFonts w:ascii="Arial" w:hAnsi="Arial" w:cs="Arial"/>
          <w:sz w:val="22"/>
          <w:szCs w:val="22"/>
        </w:rPr>
      </w:pPr>
      <w:r w:rsidRPr="0048183D">
        <w:rPr>
          <w:rFonts w:ascii="Arial" w:hAnsi="Arial" w:cs="Arial"/>
          <w:sz w:val="22"/>
          <w:szCs w:val="22"/>
        </w:rPr>
        <w:t>Iepirkuma identifikācijas Nr. LLKC 201</w:t>
      </w:r>
      <w:r>
        <w:rPr>
          <w:rFonts w:ascii="Arial" w:hAnsi="Arial" w:cs="Arial"/>
          <w:sz w:val="22"/>
          <w:szCs w:val="22"/>
        </w:rPr>
        <w:t>8</w:t>
      </w:r>
      <w:r w:rsidRPr="0048183D">
        <w:rPr>
          <w:rFonts w:ascii="Arial" w:hAnsi="Arial" w:cs="Arial"/>
          <w:sz w:val="22"/>
          <w:szCs w:val="22"/>
        </w:rPr>
        <w:t>/</w:t>
      </w:r>
      <w:r>
        <w:rPr>
          <w:rFonts w:ascii="Arial" w:hAnsi="Arial" w:cs="Arial"/>
          <w:sz w:val="22"/>
          <w:szCs w:val="22"/>
        </w:rPr>
        <w:t>1</w:t>
      </w:r>
    </w:p>
    <w:p w:rsidR="00E53E8D" w:rsidRPr="0048183D" w:rsidRDefault="00E53E8D" w:rsidP="00E53E8D">
      <w:pPr>
        <w:rPr>
          <w:rFonts w:ascii="Arial" w:hAnsi="Arial" w:cs="Arial"/>
          <w:b/>
          <w:i/>
          <w:sz w:val="22"/>
          <w:szCs w:val="22"/>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1899"/>
        <w:gridCol w:w="1770"/>
        <w:gridCol w:w="1770"/>
        <w:gridCol w:w="1770"/>
        <w:gridCol w:w="1770"/>
      </w:tblGrid>
      <w:tr w:rsidR="00E53E8D" w:rsidRPr="0048183D" w:rsidTr="00B439DB">
        <w:trPr>
          <w:cantSplit/>
          <w:trHeight w:val="1134"/>
        </w:trPr>
        <w:tc>
          <w:tcPr>
            <w:tcW w:w="340" w:type="dxa"/>
          </w:tcPr>
          <w:p w:rsidR="00E53E8D" w:rsidRPr="0048183D" w:rsidRDefault="00E53E8D" w:rsidP="00B439DB">
            <w:pPr>
              <w:jc w:val="center"/>
              <w:rPr>
                <w:rFonts w:ascii="Arial" w:hAnsi="Arial" w:cs="Arial"/>
                <w:sz w:val="22"/>
                <w:szCs w:val="22"/>
              </w:rPr>
            </w:pPr>
          </w:p>
        </w:tc>
        <w:tc>
          <w:tcPr>
            <w:tcW w:w="1899" w:type="dxa"/>
            <w:vAlign w:val="center"/>
          </w:tcPr>
          <w:p w:rsidR="00E53E8D" w:rsidRPr="0048183D" w:rsidRDefault="00E53E8D" w:rsidP="00B439DB">
            <w:pPr>
              <w:jc w:val="center"/>
              <w:rPr>
                <w:rFonts w:ascii="Arial" w:hAnsi="Arial" w:cs="Arial"/>
                <w:bCs/>
                <w:sz w:val="22"/>
                <w:szCs w:val="22"/>
              </w:rPr>
            </w:pPr>
            <w:r w:rsidRPr="0048183D">
              <w:rPr>
                <w:rFonts w:ascii="Arial" w:hAnsi="Arial" w:cs="Arial"/>
                <w:bCs/>
                <w:sz w:val="22"/>
                <w:szCs w:val="22"/>
              </w:rPr>
              <w:t>Autotransporta marka, modelis, izlaides gads</w:t>
            </w:r>
          </w:p>
        </w:tc>
        <w:tc>
          <w:tcPr>
            <w:tcW w:w="1770" w:type="dxa"/>
            <w:vAlign w:val="center"/>
          </w:tcPr>
          <w:p w:rsidR="00E53E8D" w:rsidRPr="0048183D" w:rsidRDefault="00E53E8D" w:rsidP="00B439DB">
            <w:pPr>
              <w:jc w:val="center"/>
              <w:rPr>
                <w:rFonts w:ascii="Arial" w:hAnsi="Arial" w:cs="Arial"/>
                <w:bCs/>
                <w:sz w:val="22"/>
                <w:szCs w:val="22"/>
              </w:rPr>
            </w:pPr>
            <w:r w:rsidRPr="0048183D">
              <w:rPr>
                <w:rFonts w:ascii="Arial" w:hAnsi="Arial" w:cs="Arial"/>
                <w:bCs/>
                <w:sz w:val="22"/>
                <w:szCs w:val="22"/>
              </w:rPr>
              <w:t>Autotransporta cena, EUR (bez PVN 21%)</w:t>
            </w:r>
          </w:p>
        </w:tc>
        <w:tc>
          <w:tcPr>
            <w:tcW w:w="1770" w:type="dxa"/>
          </w:tcPr>
          <w:p w:rsidR="00E53E8D" w:rsidRPr="0048183D" w:rsidRDefault="00E53E8D" w:rsidP="00B439DB">
            <w:pPr>
              <w:jc w:val="center"/>
              <w:rPr>
                <w:rFonts w:ascii="Arial" w:hAnsi="Arial" w:cs="Arial"/>
                <w:bCs/>
                <w:sz w:val="22"/>
                <w:szCs w:val="22"/>
              </w:rPr>
            </w:pPr>
            <w:r w:rsidRPr="0048183D">
              <w:rPr>
                <w:rFonts w:ascii="Arial" w:hAnsi="Arial" w:cs="Arial"/>
                <w:bCs/>
                <w:sz w:val="22"/>
                <w:szCs w:val="22"/>
              </w:rPr>
              <w:t>Autotransporta cena, EUR (ar PVN 21%)</w:t>
            </w:r>
          </w:p>
        </w:tc>
        <w:tc>
          <w:tcPr>
            <w:tcW w:w="1770" w:type="dxa"/>
            <w:vAlign w:val="center"/>
          </w:tcPr>
          <w:p w:rsidR="00E53E8D" w:rsidRPr="0048183D" w:rsidRDefault="00E53E8D" w:rsidP="00B439DB">
            <w:pPr>
              <w:jc w:val="center"/>
              <w:rPr>
                <w:rFonts w:ascii="Arial" w:hAnsi="Arial" w:cs="Arial"/>
                <w:bCs/>
                <w:sz w:val="22"/>
                <w:szCs w:val="22"/>
              </w:rPr>
            </w:pPr>
            <w:r w:rsidRPr="0048183D">
              <w:rPr>
                <w:rFonts w:ascii="Arial" w:hAnsi="Arial" w:cs="Arial"/>
                <w:bCs/>
                <w:sz w:val="22"/>
                <w:szCs w:val="22"/>
              </w:rPr>
              <w:t>Autotransporta atpirkuma vērtība pēc līzinga perioda, EUR (bez PVN 21%)</w:t>
            </w:r>
          </w:p>
        </w:tc>
        <w:tc>
          <w:tcPr>
            <w:tcW w:w="1770" w:type="dxa"/>
          </w:tcPr>
          <w:p w:rsidR="00E53E8D" w:rsidRPr="0048183D" w:rsidRDefault="00E53E8D" w:rsidP="00B439DB">
            <w:pPr>
              <w:jc w:val="center"/>
              <w:rPr>
                <w:rFonts w:ascii="Arial" w:hAnsi="Arial" w:cs="Arial"/>
                <w:bCs/>
                <w:sz w:val="22"/>
                <w:szCs w:val="22"/>
              </w:rPr>
            </w:pPr>
            <w:r w:rsidRPr="0048183D">
              <w:rPr>
                <w:rFonts w:ascii="Arial" w:hAnsi="Arial" w:cs="Arial"/>
                <w:bCs/>
                <w:sz w:val="22"/>
                <w:szCs w:val="22"/>
              </w:rPr>
              <w:t>Autotransporta atpirkuma vērtība pēc līzinga perioda, EUR (ar PVN 21%)</w:t>
            </w:r>
          </w:p>
        </w:tc>
      </w:tr>
      <w:tr w:rsidR="00E53E8D" w:rsidRPr="0048183D" w:rsidTr="00B439DB">
        <w:trPr>
          <w:trHeight w:val="598"/>
        </w:trPr>
        <w:tc>
          <w:tcPr>
            <w:tcW w:w="340" w:type="dxa"/>
            <w:tcBorders>
              <w:bottom w:val="single" w:sz="4" w:space="0" w:color="auto"/>
            </w:tcBorders>
          </w:tcPr>
          <w:p w:rsidR="00E53E8D" w:rsidRPr="0048183D" w:rsidRDefault="00E53E8D" w:rsidP="00B439DB">
            <w:pPr>
              <w:rPr>
                <w:rFonts w:ascii="Arial" w:hAnsi="Arial" w:cs="Arial"/>
                <w:sz w:val="22"/>
                <w:szCs w:val="22"/>
              </w:rPr>
            </w:pPr>
            <w:r w:rsidRPr="0048183D">
              <w:rPr>
                <w:rFonts w:ascii="Arial" w:hAnsi="Arial" w:cs="Arial"/>
                <w:sz w:val="22"/>
                <w:szCs w:val="22"/>
              </w:rPr>
              <w:t>1</w:t>
            </w:r>
          </w:p>
        </w:tc>
        <w:tc>
          <w:tcPr>
            <w:tcW w:w="1899" w:type="dxa"/>
            <w:tcBorders>
              <w:bottom w:val="single" w:sz="4" w:space="0" w:color="auto"/>
            </w:tcBorders>
            <w:vAlign w:val="center"/>
          </w:tcPr>
          <w:p w:rsidR="00E53E8D" w:rsidRPr="0048183D" w:rsidRDefault="00E53E8D" w:rsidP="00B439DB">
            <w:pPr>
              <w:rPr>
                <w:rFonts w:ascii="Arial" w:hAnsi="Arial" w:cs="Arial"/>
                <w:sz w:val="22"/>
                <w:szCs w:val="22"/>
              </w:rPr>
            </w:pPr>
            <w:r>
              <w:rPr>
                <w:rFonts w:ascii="Arial" w:hAnsi="Arial" w:cs="Arial"/>
                <w:sz w:val="22"/>
                <w:szCs w:val="22"/>
              </w:rPr>
              <w:t>Suzuki Vitara 2018</w:t>
            </w:r>
          </w:p>
        </w:tc>
        <w:tc>
          <w:tcPr>
            <w:tcW w:w="1770" w:type="dxa"/>
            <w:tcBorders>
              <w:bottom w:val="single" w:sz="4" w:space="0" w:color="auto"/>
            </w:tcBorders>
          </w:tcPr>
          <w:p w:rsidR="00E53E8D" w:rsidRPr="0048183D" w:rsidRDefault="00E53E8D" w:rsidP="00B439DB">
            <w:pPr>
              <w:rPr>
                <w:rFonts w:ascii="Arial" w:hAnsi="Arial" w:cs="Arial"/>
                <w:sz w:val="22"/>
                <w:szCs w:val="22"/>
              </w:rPr>
            </w:pPr>
            <w:r>
              <w:rPr>
                <w:rFonts w:ascii="Arial" w:hAnsi="Arial" w:cs="Arial"/>
                <w:sz w:val="22"/>
                <w:szCs w:val="22"/>
              </w:rPr>
              <w:t>14462,81</w:t>
            </w:r>
          </w:p>
        </w:tc>
        <w:tc>
          <w:tcPr>
            <w:tcW w:w="1770" w:type="dxa"/>
            <w:tcBorders>
              <w:bottom w:val="single" w:sz="4" w:space="0" w:color="auto"/>
            </w:tcBorders>
          </w:tcPr>
          <w:p w:rsidR="00E53E8D" w:rsidRPr="0048183D" w:rsidRDefault="00E53E8D" w:rsidP="00B439DB">
            <w:pPr>
              <w:rPr>
                <w:rFonts w:ascii="Arial" w:hAnsi="Arial" w:cs="Arial"/>
                <w:sz w:val="22"/>
                <w:szCs w:val="22"/>
              </w:rPr>
            </w:pPr>
            <w:r>
              <w:rPr>
                <w:rFonts w:ascii="Arial" w:hAnsi="Arial" w:cs="Arial"/>
                <w:sz w:val="22"/>
                <w:szCs w:val="22"/>
              </w:rPr>
              <w:t>17500</w:t>
            </w:r>
          </w:p>
        </w:tc>
        <w:tc>
          <w:tcPr>
            <w:tcW w:w="1770" w:type="dxa"/>
            <w:tcBorders>
              <w:bottom w:val="single" w:sz="4" w:space="0" w:color="auto"/>
            </w:tcBorders>
            <w:vAlign w:val="center"/>
          </w:tcPr>
          <w:p w:rsidR="00E53E8D" w:rsidRPr="0048183D" w:rsidRDefault="00E53E8D" w:rsidP="00B439DB">
            <w:pPr>
              <w:rPr>
                <w:rFonts w:ascii="Arial" w:hAnsi="Arial" w:cs="Arial"/>
                <w:sz w:val="22"/>
                <w:szCs w:val="22"/>
              </w:rPr>
            </w:pPr>
            <w:r>
              <w:rPr>
                <w:rFonts w:ascii="Arial" w:hAnsi="Arial" w:cs="Arial"/>
                <w:sz w:val="22"/>
                <w:szCs w:val="22"/>
              </w:rPr>
              <w:t>3181,82</w:t>
            </w:r>
          </w:p>
        </w:tc>
        <w:tc>
          <w:tcPr>
            <w:tcW w:w="1770" w:type="dxa"/>
            <w:tcBorders>
              <w:bottom w:val="single" w:sz="4" w:space="0" w:color="auto"/>
            </w:tcBorders>
          </w:tcPr>
          <w:p w:rsidR="00E53E8D" w:rsidRPr="0048183D" w:rsidRDefault="00E53E8D" w:rsidP="00B439DB">
            <w:pPr>
              <w:rPr>
                <w:rFonts w:ascii="Arial" w:hAnsi="Arial" w:cs="Arial"/>
                <w:sz w:val="22"/>
                <w:szCs w:val="22"/>
              </w:rPr>
            </w:pPr>
            <w:r>
              <w:rPr>
                <w:rFonts w:ascii="Arial" w:hAnsi="Arial" w:cs="Arial"/>
                <w:sz w:val="22"/>
                <w:szCs w:val="22"/>
              </w:rPr>
              <w:t>3850</w:t>
            </w:r>
          </w:p>
        </w:tc>
      </w:tr>
      <w:tr w:rsidR="00E53E8D" w:rsidRPr="0048183D" w:rsidTr="00B439DB">
        <w:trPr>
          <w:trHeight w:val="519"/>
        </w:trPr>
        <w:tc>
          <w:tcPr>
            <w:tcW w:w="340" w:type="dxa"/>
            <w:tcBorders>
              <w:top w:val="single" w:sz="4" w:space="0" w:color="auto"/>
              <w:left w:val="nil"/>
              <w:bottom w:val="nil"/>
              <w:right w:val="nil"/>
            </w:tcBorders>
          </w:tcPr>
          <w:p w:rsidR="00E53E8D" w:rsidRPr="0048183D" w:rsidRDefault="00E53E8D" w:rsidP="00B439DB">
            <w:pPr>
              <w:rPr>
                <w:rFonts w:ascii="Arial" w:hAnsi="Arial" w:cs="Arial"/>
                <w:sz w:val="22"/>
                <w:szCs w:val="22"/>
              </w:rPr>
            </w:pPr>
          </w:p>
        </w:tc>
        <w:tc>
          <w:tcPr>
            <w:tcW w:w="1899" w:type="dxa"/>
            <w:tcBorders>
              <w:top w:val="single" w:sz="4" w:space="0" w:color="auto"/>
              <w:left w:val="nil"/>
              <w:bottom w:val="nil"/>
              <w:right w:val="single" w:sz="4" w:space="0" w:color="auto"/>
            </w:tcBorders>
            <w:vAlign w:val="center"/>
          </w:tcPr>
          <w:p w:rsidR="00E53E8D" w:rsidRPr="0048183D" w:rsidRDefault="00E53E8D" w:rsidP="00B439DB">
            <w:pPr>
              <w:rPr>
                <w:rFonts w:ascii="Arial" w:hAnsi="Arial" w:cs="Arial"/>
                <w:sz w:val="22"/>
                <w:szCs w:val="22"/>
              </w:rPr>
            </w:pPr>
            <w:r w:rsidRPr="0048183D">
              <w:rPr>
                <w:rFonts w:ascii="Arial" w:hAnsi="Arial" w:cs="Arial"/>
                <w:b/>
                <w:sz w:val="22"/>
                <w:szCs w:val="22"/>
              </w:rPr>
              <w:t>Kopā</w:t>
            </w:r>
          </w:p>
        </w:tc>
        <w:tc>
          <w:tcPr>
            <w:tcW w:w="1770" w:type="dxa"/>
            <w:tcBorders>
              <w:top w:val="single" w:sz="4" w:space="0" w:color="auto"/>
              <w:left w:val="single" w:sz="4" w:space="0" w:color="auto"/>
              <w:bottom w:val="single" w:sz="4" w:space="0" w:color="auto"/>
              <w:right w:val="single" w:sz="4" w:space="0" w:color="auto"/>
            </w:tcBorders>
          </w:tcPr>
          <w:p w:rsidR="00E53E8D" w:rsidRPr="0048183D" w:rsidRDefault="00E53E8D" w:rsidP="00B439DB">
            <w:pPr>
              <w:rPr>
                <w:rFonts w:ascii="Arial" w:hAnsi="Arial" w:cs="Arial"/>
                <w:b/>
                <w:sz w:val="22"/>
                <w:szCs w:val="22"/>
              </w:rPr>
            </w:pPr>
            <w:r>
              <w:rPr>
                <w:rFonts w:ascii="Arial" w:hAnsi="Arial" w:cs="Arial"/>
                <w:sz w:val="22"/>
                <w:szCs w:val="22"/>
              </w:rPr>
              <w:t>14462,81</w:t>
            </w:r>
          </w:p>
        </w:tc>
        <w:tc>
          <w:tcPr>
            <w:tcW w:w="1770" w:type="dxa"/>
            <w:tcBorders>
              <w:top w:val="single" w:sz="4" w:space="0" w:color="auto"/>
              <w:left w:val="single" w:sz="4" w:space="0" w:color="auto"/>
              <w:bottom w:val="single" w:sz="4" w:space="0" w:color="auto"/>
              <w:right w:val="single" w:sz="4" w:space="0" w:color="auto"/>
            </w:tcBorders>
          </w:tcPr>
          <w:p w:rsidR="00E53E8D" w:rsidRPr="0048183D" w:rsidRDefault="00E53E8D" w:rsidP="00B439DB">
            <w:pPr>
              <w:rPr>
                <w:rFonts w:ascii="Arial" w:hAnsi="Arial" w:cs="Arial"/>
                <w:b/>
                <w:sz w:val="22"/>
                <w:szCs w:val="22"/>
              </w:rPr>
            </w:pPr>
            <w:r>
              <w:rPr>
                <w:rFonts w:ascii="Arial" w:hAnsi="Arial" w:cs="Arial"/>
                <w:b/>
                <w:sz w:val="22"/>
                <w:szCs w:val="22"/>
              </w:rPr>
              <w:t>17500</w:t>
            </w:r>
          </w:p>
        </w:tc>
        <w:tc>
          <w:tcPr>
            <w:tcW w:w="1770" w:type="dxa"/>
            <w:tcBorders>
              <w:top w:val="single" w:sz="4" w:space="0" w:color="auto"/>
              <w:left w:val="single" w:sz="4" w:space="0" w:color="auto"/>
              <w:bottom w:val="single" w:sz="4" w:space="0" w:color="auto"/>
              <w:right w:val="single" w:sz="4" w:space="0" w:color="auto"/>
            </w:tcBorders>
            <w:vAlign w:val="center"/>
          </w:tcPr>
          <w:p w:rsidR="00E53E8D" w:rsidRPr="0048183D" w:rsidRDefault="00E53E8D" w:rsidP="00B439DB">
            <w:pPr>
              <w:rPr>
                <w:rFonts w:ascii="Arial" w:hAnsi="Arial" w:cs="Arial"/>
                <w:b/>
                <w:sz w:val="22"/>
                <w:szCs w:val="22"/>
              </w:rPr>
            </w:pPr>
            <w:r>
              <w:rPr>
                <w:rFonts w:ascii="Arial" w:hAnsi="Arial" w:cs="Arial"/>
                <w:b/>
                <w:sz w:val="22"/>
                <w:szCs w:val="22"/>
              </w:rPr>
              <w:t>3181,82</w:t>
            </w:r>
          </w:p>
        </w:tc>
        <w:tc>
          <w:tcPr>
            <w:tcW w:w="1770" w:type="dxa"/>
            <w:tcBorders>
              <w:top w:val="single" w:sz="4" w:space="0" w:color="auto"/>
              <w:left w:val="single" w:sz="4" w:space="0" w:color="auto"/>
              <w:bottom w:val="single" w:sz="4" w:space="0" w:color="auto"/>
              <w:right w:val="single" w:sz="4" w:space="0" w:color="auto"/>
            </w:tcBorders>
          </w:tcPr>
          <w:p w:rsidR="00E53E8D" w:rsidRPr="0048183D" w:rsidRDefault="00E53E8D" w:rsidP="00B439DB">
            <w:pPr>
              <w:rPr>
                <w:rFonts w:ascii="Arial" w:hAnsi="Arial" w:cs="Arial"/>
                <w:b/>
                <w:sz w:val="22"/>
                <w:szCs w:val="22"/>
              </w:rPr>
            </w:pPr>
            <w:r>
              <w:rPr>
                <w:rFonts w:ascii="Arial" w:hAnsi="Arial" w:cs="Arial"/>
                <w:b/>
                <w:sz w:val="22"/>
                <w:szCs w:val="22"/>
              </w:rPr>
              <w:t>3850</w:t>
            </w:r>
          </w:p>
        </w:tc>
      </w:tr>
    </w:tbl>
    <w:p w:rsidR="005706D0" w:rsidRPr="001934C3" w:rsidRDefault="005706D0" w:rsidP="005706D0">
      <w:pPr>
        <w:ind w:right="43"/>
        <w:rPr>
          <w:rFonts w:ascii="Arial" w:hAnsi="Arial" w:cs="Arial"/>
        </w:rPr>
      </w:pPr>
    </w:p>
    <w:sectPr w:rsidR="005706D0" w:rsidRPr="001934C3" w:rsidSect="005706D0">
      <w:footerReference w:type="default" r:id="rId8"/>
      <w:pgSz w:w="12240" w:h="15840"/>
      <w:pgMar w:top="1134" w:right="132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17" w:rsidRDefault="00300117" w:rsidP="000D4C3D">
      <w:r>
        <w:separator/>
      </w:r>
    </w:p>
  </w:endnote>
  <w:endnote w:type="continuationSeparator" w:id="0">
    <w:p w:rsidR="00300117" w:rsidRDefault="00300117" w:rsidP="000D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31415"/>
      <w:docPartObj>
        <w:docPartGallery w:val="Page Numbers (Bottom of Page)"/>
        <w:docPartUnique/>
      </w:docPartObj>
    </w:sdtPr>
    <w:sdtEndPr>
      <w:rPr>
        <w:noProof/>
      </w:rPr>
    </w:sdtEndPr>
    <w:sdtContent>
      <w:p w:rsidR="000D4C3D" w:rsidRDefault="000D4C3D">
        <w:pPr>
          <w:pStyle w:val="Footer"/>
          <w:jc w:val="right"/>
        </w:pPr>
        <w:r>
          <w:fldChar w:fldCharType="begin"/>
        </w:r>
        <w:r>
          <w:instrText xml:space="preserve"> PAGE   \* MERGEFORMAT </w:instrText>
        </w:r>
        <w:r>
          <w:fldChar w:fldCharType="separate"/>
        </w:r>
        <w:r w:rsidR="00420906">
          <w:rPr>
            <w:noProof/>
          </w:rPr>
          <w:t>5</w:t>
        </w:r>
        <w:r>
          <w:rPr>
            <w:noProof/>
          </w:rPr>
          <w:fldChar w:fldCharType="end"/>
        </w:r>
      </w:p>
    </w:sdtContent>
  </w:sdt>
  <w:p w:rsidR="000D4C3D" w:rsidRDefault="000D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17" w:rsidRDefault="00300117" w:rsidP="000D4C3D">
      <w:r>
        <w:separator/>
      </w:r>
    </w:p>
  </w:footnote>
  <w:footnote w:type="continuationSeparator" w:id="0">
    <w:p w:rsidR="00300117" w:rsidRDefault="00300117" w:rsidP="000D4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FBB"/>
    <w:multiLevelType w:val="hybridMultilevel"/>
    <w:tmpl w:val="84BA42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E7A6CB8"/>
    <w:multiLevelType w:val="hybridMultilevel"/>
    <w:tmpl w:val="B74EC148"/>
    <w:lvl w:ilvl="0" w:tplc="56E60D3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FF4C98"/>
    <w:multiLevelType w:val="hybridMultilevel"/>
    <w:tmpl w:val="93386BA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384624"/>
    <w:multiLevelType w:val="hybridMultilevel"/>
    <w:tmpl w:val="D196FF3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73E5D33"/>
    <w:multiLevelType w:val="multilevel"/>
    <w:tmpl w:val="53BCEE3C"/>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color w:val="auto"/>
      </w:rPr>
    </w:lvl>
    <w:lvl w:ilvl="4">
      <w:start w:val="750"/>
      <w:numFmt w:val="bullet"/>
      <w:lvlText w:val="-"/>
      <w:lvlJc w:val="left"/>
      <w:pPr>
        <w:tabs>
          <w:tab w:val="num" w:pos="1800"/>
        </w:tabs>
        <w:ind w:left="1800" w:hanging="360"/>
      </w:pPr>
      <w:rPr>
        <w:rFonts w:ascii="Times New Roman" w:hAnsi="Times New Roman" w:cs="Times New Roman" w:hint="default"/>
        <w:b w:val="0"/>
        <w:i w:val="0"/>
        <w:sz w:val="28"/>
        <w:szCs w:val="2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7C2110F"/>
    <w:multiLevelType w:val="hybridMultilevel"/>
    <w:tmpl w:val="165C0C78"/>
    <w:lvl w:ilvl="0" w:tplc="CF26A4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160DA"/>
    <w:multiLevelType w:val="multilevel"/>
    <w:tmpl w:val="01AC6C2E"/>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900"/>
        </w:tabs>
        <w:ind w:left="900"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88"/>
    <w:rsid w:val="00061C68"/>
    <w:rsid w:val="00086976"/>
    <w:rsid w:val="000B036E"/>
    <w:rsid w:val="000B5DA2"/>
    <w:rsid w:val="000B61A9"/>
    <w:rsid w:val="000D409E"/>
    <w:rsid w:val="000D4C3D"/>
    <w:rsid w:val="000F53E3"/>
    <w:rsid w:val="000F6AB3"/>
    <w:rsid w:val="00113A69"/>
    <w:rsid w:val="001429DC"/>
    <w:rsid w:val="001559F3"/>
    <w:rsid w:val="001934C3"/>
    <w:rsid w:val="001972D1"/>
    <w:rsid w:val="001A4911"/>
    <w:rsid w:val="0020638A"/>
    <w:rsid w:val="00222A96"/>
    <w:rsid w:val="00246CD4"/>
    <w:rsid w:val="002A583E"/>
    <w:rsid w:val="002E7A06"/>
    <w:rsid w:val="00300117"/>
    <w:rsid w:val="003272C0"/>
    <w:rsid w:val="003462BE"/>
    <w:rsid w:val="00371C43"/>
    <w:rsid w:val="00372A44"/>
    <w:rsid w:val="003860D2"/>
    <w:rsid w:val="0039380F"/>
    <w:rsid w:val="003A692C"/>
    <w:rsid w:val="003C192E"/>
    <w:rsid w:val="003D1B46"/>
    <w:rsid w:val="003F2373"/>
    <w:rsid w:val="003F546E"/>
    <w:rsid w:val="00420906"/>
    <w:rsid w:val="00427AF3"/>
    <w:rsid w:val="00431C8E"/>
    <w:rsid w:val="00443BEC"/>
    <w:rsid w:val="00483642"/>
    <w:rsid w:val="00487400"/>
    <w:rsid w:val="004A3444"/>
    <w:rsid w:val="004A5105"/>
    <w:rsid w:val="004A564E"/>
    <w:rsid w:val="004C7A97"/>
    <w:rsid w:val="004D2B9B"/>
    <w:rsid w:val="00525129"/>
    <w:rsid w:val="00554B54"/>
    <w:rsid w:val="00555005"/>
    <w:rsid w:val="005706D0"/>
    <w:rsid w:val="005846BB"/>
    <w:rsid w:val="005B087D"/>
    <w:rsid w:val="005B3682"/>
    <w:rsid w:val="005E7C4F"/>
    <w:rsid w:val="00607DBC"/>
    <w:rsid w:val="00612CDD"/>
    <w:rsid w:val="00634613"/>
    <w:rsid w:val="00661B02"/>
    <w:rsid w:val="006748C0"/>
    <w:rsid w:val="00675A05"/>
    <w:rsid w:val="00684E26"/>
    <w:rsid w:val="00690CFE"/>
    <w:rsid w:val="006918F9"/>
    <w:rsid w:val="006A0DDA"/>
    <w:rsid w:val="006A46BA"/>
    <w:rsid w:val="006B23A5"/>
    <w:rsid w:val="006C1B33"/>
    <w:rsid w:val="006D7A70"/>
    <w:rsid w:val="0071392D"/>
    <w:rsid w:val="00724D41"/>
    <w:rsid w:val="0073531B"/>
    <w:rsid w:val="00736897"/>
    <w:rsid w:val="00736A14"/>
    <w:rsid w:val="00765C60"/>
    <w:rsid w:val="007721E9"/>
    <w:rsid w:val="007816D8"/>
    <w:rsid w:val="007A3170"/>
    <w:rsid w:val="007A730D"/>
    <w:rsid w:val="007E585D"/>
    <w:rsid w:val="007F3D6F"/>
    <w:rsid w:val="00801400"/>
    <w:rsid w:val="008014DF"/>
    <w:rsid w:val="00810A61"/>
    <w:rsid w:val="00812403"/>
    <w:rsid w:val="00835236"/>
    <w:rsid w:val="008519FB"/>
    <w:rsid w:val="008619ED"/>
    <w:rsid w:val="00865FE3"/>
    <w:rsid w:val="00885894"/>
    <w:rsid w:val="008B1A89"/>
    <w:rsid w:val="008C03CA"/>
    <w:rsid w:val="00901053"/>
    <w:rsid w:val="009414F3"/>
    <w:rsid w:val="00943FFC"/>
    <w:rsid w:val="00967132"/>
    <w:rsid w:val="009812E8"/>
    <w:rsid w:val="00982292"/>
    <w:rsid w:val="0099003C"/>
    <w:rsid w:val="009F511F"/>
    <w:rsid w:val="00A11297"/>
    <w:rsid w:val="00A1580F"/>
    <w:rsid w:val="00A377FC"/>
    <w:rsid w:val="00A740F6"/>
    <w:rsid w:val="00A8433B"/>
    <w:rsid w:val="00A866B7"/>
    <w:rsid w:val="00AD53E4"/>
    <w:rsid w:val="00AF7157"/>
    <w:rsid w:val="00B36D6B"/>
    <w:rsid w:val="00B52CE9"/>
    <w:rsid w:val="00B6651F"/>
    <w:rsid w:val="00B756AC"/>
    <w:rsid w:val="00B77DD7"/>
    <w:rsid w:val="00BB2E63"/>
    <w:rsid w:val="00C56C70"/>
    <w:rsid w:val="00C64342"/>
    <w:rsid w:val="00CB0C51"/>
    <w:rsid w:val="00D07046"/>
    <w:rsid w:val="00D11CBC"/>
    <w:rsid w:val="00D57E87"/>
    <w:rsid w:val="00D66EAC"/>
    <w:rsid w:val="00D82B24"/>
    <w:rsid w:val="00D850B1"/>
    <w:rsid w:val="00D92887"/>
    <w:rsid w:val="00E36B88"/>
    <w:rsid w:val="00E4564E"/>
    <w:rsid w:val="00E53E8D"/>
    <w:rsid w:val="00E97DE6"/>
    <w:rsid w:val="00EC3C2B"/>
    <w:rsid w:val="00EF420F"/>
    <w:rsid w:val="00F31BEC"/>
    <w:rsid w:val="00F37966"/>
    <w:rsid w:val="00F560B0"/>
    <w:rsid w:val="00F61FCA"/>
    <w:rsid w:val="00F66C1E"/>
    <w:rsid w:val="00F87277"/>
    <w:rsid w:val="00F913F5"/>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59052-6C51-4EC6-A321-8DB1AA06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B88"/>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E36B88"/>
    <w:pPr>
      <w:keepNext/>
      <w:numPr>
        <w:numId w:val="1"/>
      </w:numPr>
      <w:jc w:val="center"/>
      <w:outlineLvl w:val="0"/>
    </w:pPr>
    <w:rPr>
      <w:rFonts w:ascii="Times New Roman Bold" w:hAnsi="Times New Roman Bold"/>
      <w:b/>
      <w:smallCaps/>
      <w:sz w:val="24"/>
    </w:rPr>
  </w:style>
  <w:style w:type="paragraph" w:styleId="Heading2">
    <w:name w:val="heading 2"/>
    <w:basedOn w:val="Normal"/>
    <w:next w:val="Normal"/>
    <w:link w:val="Heading2Char"/>
    <w:uiPriority w:val="9"/>
    <w:semiHidden/>
    <w:unhideWhenUsed/>
    <w:qFormat/>
    <w:rsid w:val="00D850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36B88"/>
    <w:rPr>
      <w:rFonts w:asciiTheme="majorHAnsi" w:eastAsiaTheme="majorEastAsia" w:hAnsiTheme="majorHAnsi" w:cstheme="majorBidi"/>
      <w:b/>
      <w:bCs/>
      <w:color w:val="365F91" w:themeColor="accent1" w:themeShade="BF"/>
      <w:sz w:val="28"/>
      <w:szCs w:val="28"/>
      <w:lang w:val="lv-LV"/>
    </w:rPr>
  </w:style>
  <w:style w:type="paragraph" w:styleId="BodyText">
    <w:name w:val="Body Text"/>
    <w:aliases w:val="b,uvlaka 3,plain,plain Char,b1,uvlaka 31, uvlaka 3, uvlaka 31,Body Text Char1,Body Text Char Char,Body Text1"/>
    <w:basedOn w:val="Normal"/>
    <w:link w:val="BodyTextChar2"/>
    <w:rsid w:val="00E36B88"/>
    <w:pPr>
      <w:widowControl w:val="0"/>
      <w:spacing w:after="120"/>
    </w:pPr>
    <w:rPr>
      <w:rFonts w:ascii="RimTimes" w:hAnsi="RimTimes"/>
      <w:sz w:val="24"/>
    </w:rPr>
  </w:style>
  <w:style w:type="character" w:customStyle="1" w:styleId="BodyTextChar">
    <w:name w:val="Body Text Char"/>
    <w:basedOn w:val="DefaultParagraphFont"/>
    <w:uiPriority w:val="99"/>
    <w:semiHidden/>
    <w:rsid w:val="00E36B88"/>
    <w:rPr>
      <w:rFonts w:ascii="Times New Roman" w:eastAsia="Times New Roman" w:hAnsi="Times New Roman" w:cs="Times New Roman"/>
      <w:sz w:val="20"/>
      <w:szCs w:val="20"/>
      <w:lang w:val="lv-LV"/>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E36B88"/>
    <w:rPr>
      <w:rFonts w:ascii="Times New Roman Bold" w:eastAsia="Times New Roman" w:hAnsi="Times New Roman Bold" w:cs="Times New Roman"/>
      <w:b/>
      <w:smallCaps/>
      <w:sz w:val="24"/>
      <w:szCs w:val="20"/>
      <w:lang w:val="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E36B88"/>
    <w:rPr>
      <w:rFonts w:ascii="RimTimes" w:eastAsia="Times New Roman" w:hAnsi="RimTimes" w:cs="Times New Roman"/>
      <w:sz w:val="24"/>
      <w:szCs w:val="20"/>
      <w:lang w:val="lv-LV"/>
    </w:rPr>
  </w:style>
  <w:style w:type="paragraph" w:customStyle="1" w:styleId="txt1">
    <w:name w:val="txt1"/>
    <w:rsid w:val="00E36B8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character" w:customStyle="1" w:styleId="right">
    <w:name w:val="right"/>
    <w:basedOn w:val="DefaultParagraphFont"/>
    <w:rsid w:val="00E36B88"/>
  </w:style>
  <w:style w:type="paragraph" w:styleId="BodyText2">
    <w:name w:val="Body Text 2"/>
    <w:basedOn w:val="Normal"/>
    <w:link w:val="BodyText2Char"/>
    <w:unhideWhenUsed/>
    <w:rsid w:val="008619ED"/>
    <w:pPr>
      <w:spacing w:after="120" w:line="480" w:lineRule="auto"/>
    </w:pPr>
  </w:style>
  <w:style w:type="character" w:customStyle="1" w:styleId="BodyText2Char">
    <w:name w:val="Body Text 2 Char"/>
    <w:basedOn w:val="DefaultParagraphFont"/>
    <w:link w:val="BodyText2"/>
    <w:rsid w:val="008619ED"/>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D82B24"/>
    <w:pPr>
      <w:ind w:left="720"/>
      <w:contextualSpacing/>
    </w:pPr>
  </w:style>
  <w:style w:type="paragraph" w:styleId="Header">
    <w:name w:val="header"/>
    <w:basedOn w:val="Normal"/>
    <w:link w:val="HeaderChar"/>
    <w:unhideWhenUsed/>
    <w:rsid w:val="000D4C3D"/>
    <w:pPr>
      <w:tabs>
        <w:tab w:val="center" w:pos="4320"/>
        <w:tab w:val="right" w:pos="8640"/>
      </w:tabs>
    </w:pPr>
  </w:style>
  <w:style w:type="character" w:customStyle="1" w:styleId="HeaderChar">
    <w:name w:val="Header Char"/>
    <w:basedOn w:val="DefaultParagraphFont"/>
    <w:link w:val="Header"/>
    <w:uiPriority w:val="99"/>
    <w:rsid w:val="000D4C3D"/>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0D4C3D"/>
    <w:pPr>
      <w:tabs>
        <w:tab w:val="center" w:pos="4320"/>
        <w:tab w:val="right" w:pos="8640"/>
      </w:tabs>
    </w:pPr>
  </w:style>
  <w:style w:type="character" w:customStyle="1" w:styleId="FooterChar">
    <w:name w:val="Footer Char"/>
    <w:basedOn w:val="DefaultParagraphFont"/>
    <w:link w:val="Footer"/>
    <w:uiPriority w:val="99"/>
    <w:rsid w:val="000D4C3D"/>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5706D0"/>
    <w:rPr>
      <w:rFonts w:ascii="Tahoma" w:hAnsi="Tahoma" w:cs="Tahoma"/>
      <w:sz w:val="16"/>
      <w:szCs w:val="16"/>
    </w:rPr>
  </w:style>
  <w:style w:type="character" w:customStyle="1" w:styleId="BalloonTextChar">
    <w:name w:val="Balloon Text Char"/>
    <w:basedOn w:val="DefaultParagraphFont"/>
    <w:link w:val="BalloonText"/>
    <w:uiPriority w:val="99"/>
    <w:semiHidden/>
    <w:rsid w:val="005706D0"/>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semiHidden/>
    <w:rsid w:val="00D850B1"/>
    <w:rPr>
      <w:rFonts w:asciiTheme="majorHAnsi" w:eastAsiaTheme="majorEastAsia" w:hAnsiTheme="majorHAnsi" w:cstheme="majorBidi"/>
      <w:b/>
      <w:bCs/>
      <w:color w:val="4F81BD" w:themeColor="accent1"/>
      <w:sz w:val="26"/>
      <w:szCs w:val="26"/>
      <w:lang w:val="lv-LV"/>
    </w:rPr>
  </w:style>
  <w:style w:type="paragraph" w:styleId="BodyTextIndent2">
    <w:name w:val="Body Text Indent 2"/>
    <w:basedOn w:val="Normal"/>
    <w:link w:val="BodyTextIndent2Char"/>
    <w:uiPriority w:val="99"/>
    <w:semiHidden/>
    <w:unhideWhenUsed/>
    <w:rsid w:val="001934C3"/>
    <w:pPr>
      <w:spacing w:after="120" w:line="480" w:lineRule="auto"/>
      <w:ind w:left="283"/>
    </w:pPr>
  </w:style>
  <w:style w:type="character" w:customStyle="1" w:styleId="BodyTextIndent2Char">
    <w:name w:val="Body Text Indent 2 Char"/>
    <w:basedOn w:val="DefaultParagraphFont"/>
    <w:link w:val="BodyTextIndent2"/>
    <w:uiPriority w:val="99"/>
    <w:semiHidden/>
    <w:rsid w:val="001934C3"/>
    <w:rPr>
      <w:rFonts w:ascii="Times New Roman" w:eastAsia="Times New Roman" w:hAnsi="Times New Roman" w:cs="Times New Roman"/>
      <w:sz w:val="20"/>
      <w:szCs w:val="20"/>
      <w:lang w:val="lv-LV"/>
    </w:rPr>
  </w:style>
  <w:style w:type="paragraph" w:styleId="NoSpacing">
    <w:name w:val="No Spacing"/>
    <w:uiPriority w:val="1"/>
    <w:qFormat/>
    <w:rsid w:val="00B6651F"/>
    <w:pPr>
      <w:spacing w:after="0" w:line="240" w:lineRule="auto"/>
    </w:pPr>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8BB74-B480-44D6-926E-A95A9FB6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8558</Words>
  <Characters>4879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15</cp:revision>
  <cp:lastPrinted>2017-08-14T11:23:00Z</cp:lastPrinted>
  <dcterms:created xsi:type="dcterms:W3CDTF">2017-08-12T12:19:00Z</dcterms:created>
  <dcterms:modified xsi:type="dcterms:W3CDTF">2020-06-05T08:43:00Z</dcterms:modified>
</cp:coreProperties>
</file>