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EC97F" w14:textId="77777777" w:rsidR="00F67AF3" w:rsidRPr="00E0005B" w:rsidRDefault="00F67AF3" w:rsidP="00F67AF3">
      <w:pPr>
        <w:rPr>
          <w:rFonts w:ascii="Bookman Old Style" w:hAnsi="Bookman Old Style"/>
          <w:b/>
          <w:bCs/>
          <w:color w:val="595959" w:themeColor="text1" w:themeTint="A6"/>
        </w:rPr>
      </w:pPr>
      <w:r w:rsidRPr="00E0005B">
        <w:rPr>
          <w:rFonts w:ascii="Bookman Old Style" w:hAnsi="Bookman Old Style"/>
          <w:b/>
          <w:bCs/>
          <w:color w:val="595959" w:themeColor="text1" w:themeTint="A6"/>
        </w:rPr>
        <w:t xml:space="preserve">Jautājumi Valsts meža dienestam no 26.11.2020. konferences. </w:t>
      </w:r>
    </w:p>
    <w:tbl>
      <w:tblPr>
        <w:tblStyle w:val="TableGrid"/>
        <w:tblW w:w="0" w:type="auto"/>
        <w:tblLook w:val="04A0" w:firstRow="1" w:lastRow="0" w:firstColumn="1" w:lastColumn="0" w:noHBand="0" w:noVBand="1"/>
      </w:tblPr>
      <w:tblGrid>
        <w:gridCol w:w="652"/>
        <w:gridCol w:w="3171"/>
        <w:gridCol w:w="10125"/>
      </w:tblGrid>
      <w:tr w:rsidR="00E0005B" w:rsidRPr="00E0005B" w14:paraId="58F2C5A8" w14:textId="77777777" w:rsidTr="00A310CB">
        <w:tc>
          <w:tcPr>
            <w:tcW w:w="652" w:type="dxa"/>
          </w:tcPr>
          <w:p w14:paraId="0828C7EE" w14:textId="77777777" w:rsidR="00F67AF3" w:rsidRPr="00E0005B" w:rsidRDefault="00F67AF3" w:rsidP="00F67AF3">
            <w:pPr>
              <w:jc w:val="center"/>
              <w:rPr>
                <w:rFonts w:ascii="Bookman Old Style" w:hAnsi="Bookman Old Style"/>
                <w:b/>
                <w:bCs/>
                <w:color w:val="595959" w:themeColor="text1" w:themeTint="A6"/>
              </w:rPr>
            </w:pPr>
            <w:r w:rsidRPr="00E0005B">
              <w:rPr>
                <w:rFonts w:ascii="Bookman Old Style" w:hAnsi="Bookman Old Style"/>
                <w:b/>
                <w:bCs/>
                <w:color w:val="595959" w:themeColor="text1" w:themeTint="A6"/>
              </w:rPr>
              <w:t>Nr.</w:t>
            </w:r>
          </w:p>
          <w:p w14:paraId="3DDEEA6D" w14:textId="1F4DD673" w:rsidR="00F67AF3" w:rsidRPr="00E0005B" w:rsidRDefault="00F67AF3" w:rsidP="00F67AF3">
            <w:pPr>
              <w:jc w:val="center"/>
              <w:rPr>
                <w:rFonts w:ascii="Bookman Old Style" w:hAnsi="Bookman Old Style"/>
                <w:b/>
                <w:bCs/>
                <w:color w:val="595959" w:themeColor="text1" w:themeTint="A6"/>
              </w:rPr>
            </w:pPr>
            <w:r w:rsidRPr="00E0005B">
              <w:rPr>
                <w:rFonts w:ascii="Bookman Old Style" w:hAnsi="Bookman Old Style"/>
                <w:b/>
                <w:bCs/>
                <w:color w:val="595959" w:themeColor="text1" w:themeTint="A6"/>
              </w:rPr>
              <w:t>p.k.</w:t>
            </w:r>
          </w:p>
        </w:tc>
        <w:tc>
          <w:tcPr>
            <w:tcW w:w="3171" w:type="dxa"/>
          </w:tcPr>
          <w:p w14:paraId="2BD43449" w14:textId="191CE980" w:rsidR="00F67AF3" w:rsidRPr="0013510D" w:rsidRDefault="00F67AF3" w:rsidP="00F67AF3">
            <w:pPr>
              <w:jc w:val="center"/>
              <w:rPr>
                <w:rFonts w:ascii="Bookman Old Style" w:hAnsi="Bookman Old Style"/>
                <w:b/>
                <w:bCs/>
                <w:color w:val="595959" w:themeColor="text1" w:themeTint="A6"/>
              </w:rPr>
            </w:pPr>
            <w:r w:rsidRPr="0013510D">
              <w:rPr>
                <w:rFonts w:ascii="Bookman Old Style" w:hAnsi="Bookman Old Style"/>
                <w:b/>
                <w:bCs/>
                <w:color w:val="595959" w:themeColor="text1" w:themeTint="A6"/>
              </w:rPr>
              <w:t>Jautājums</w:t>
            </w:r>
          </w:p>
        </w:tc>
        <w:tc>
          <w:tcPr>
            <w:tcW w:w="10125" w:type="dxa"/>
          </w:tcPr>
          <w:p w14:paraId="06E6A273" w14:textId="6E70EF43" w:rsidR="00F67AF3" w:rsidRPr="00E0005B" w:rsidRDefault="00F67AF3" w:rsidP="00F67AF3">
            <w:pPr>
              <w:jc w:val="center"/>
              <w:rPr>
                <w:rFonts w:ascii="Bookman Old Style" w:hAnsi="Bookman Old Style"/>
                <w:b/>
                <w:bCs/>
                <w:color w:val="595959" w:themeColor="text1" w:themeTint="A6"/>
              </w:rPr>
            </w:pPr>
            <w:r w:rsidRPr="00E0005B">
              <w:rPr>
                <w:rFonts w:ascii="Bookman Old Style" w:hAnsi="Bookman Old Style"/>
                <w:b/>
                <w:bCs/>
                <w:color w:val="595959" w:themeColor="text1" w:themeTint="A6"/>
              </w:rPr>
              <w:t>Atbilde</w:t>
            </w:r>
          </w:p>
        </w:tc>
      </w:tr>
      <w:tr w:rsidR="00E0005B" w:rsidRPr="00E0005B" w14:paraId="0FFE41ED" w14:textId="77777777" w:rsidTr="00A310CB">
        <w:tc>
          <w:tcPr>
            <w:tcW w:w="652" w:type="dxa"/>
          </w:tcPr>
          <w:p w14:paraId="74959A7D" w14:textId="2AC9B38E" w:rsidR="00F67AF3" w:rsidRPr="00E0005B" w:rsidRDefault="00F67AF3" w:rsidP="00F67AF3">
            <w:pPr>
              <w:jc w:val="center"/>
              <w:rPr>
                <w:rFonts w:ascii="Bookman Old Style" w:hAnsi="Bookman Old Style"/>
                <w:color w:val="595959" w:themeColor="text1" w:themeTint="A6"/>
              </w:rPr>
            </w:pPr>
            <w:r w:rsidRPr="00E0005B">
              <w:rPr>
                <w:rFonts w:ascii="Bookman Old Style" w:hAnsi="Bookman Old Style"/>
                <w:color w:val="595959" w:themeColor="text1" w:themeTint="A6"/>
              </w:rPr>
              <w:t>1.</w:t>
            </w:r>
          </w:p>
        </w:tc>
        <w:tc>
          <w:tcPr>
            <w:tcW w:w="3171" w:type="dxa"/>
          </w:tcPr>
          <w:p w14:paraId="2A54B329" w14:textId="249380C9" w:rsidR="00F67AF3" w:rsidRPr="0013510D" w:rsidRDefault="00F67AF3">
            <w:pPr>
              <w:rPr>
                <w:rFonts w:ascii="Bookman Old Style" w:hAnsi="Bookman Old Style"/>
                <w:color w:val="595959" w:themeColor="text1" w:themeTint="A6"/>
              </w:rPr>
            </w:pPr>
            <w:r w:rsidRPr="0013510D">
              <w:rPr>
                <w:rFonts w:ascii="Bookman Old Style" w:hAnsi="Bookman Old Style"/>
                <w:color w:val="595959" w:themeColor="text1" w:themeTint="A6"/>
              </w:rPr>
              <w:t>Vai mikroliegumos var cīnīties ar vējgāzi, vējlauzi un mizgrauzi?</w:t>
            </w:r>
          </w:p>
        </w:tc>
        <w:tc>
          <w:tcPr>
            <w:tcW w:w="10125" w:type="dxa"/>
          </w:tcPr>
          <w:p w14:paraId="19F7B78E" w14:textId="0E87BE27" w:rsidR="00FC7757" w:rsidRPr="00A310CB" w:rsidRDefault="00FC7757" w:rsidP="00706378">
            <w:pPr>
              <w:pStyle w:val="NoSpacing"/>
              <w:jc w:val="both"/>
              <w:rPr>
                <w:rFonts w:ascii="Bookman Old Style" w:hAnsi="Bookman Old Style"/>
                <w:color w:val="595959" w:themeColor="text1" w:themeTint="A6"/>
              </w:rPr>
            </w:pPr>
            <w:r w:rsidRPr="00A310CB">
              <w:rPr>
                <w:rFonts w:ascii="Bookman Old Style" w:hAnsi="Bookman Old Style"/>
                <w:color w:val="595959" w:themeColor="text1" w:themeTint="A6"/>
              </w:rPr>
              <w:t>Jā, tas ir iespējams, ievērojot zināmus ierobežojumus.</w:t>
            </w:r>
          </w:p>
          <w:p w14:paraId="58A3FD53" w14:textId="54DF6A24" w:rsidR="00FC7757" w:rsidRPr="00A310CB" w:rsidRDefault="00F67AF3" w:rsidP="00706378">
            <w:pPr>
              <w:pStyle w:val="NoSpacing"/>
              <w:jc w:val="both"/>
              <w:rPr>
                <w:rFonts w:ascii="Bookman Old Style" w:hAnsi="Bookman Old Style"/>
                <w:color w:val="595959" w:themeColor="text1" w:themeTint="A6"/>
              </w:rPr>
            </w:pPr>
            <w:r w:rsidRPr="00A310CB">
              <w:rPr>
                <w:rFonts w:ascii="Bookman Old Style" w:hAnsi="Bookman Old Style"/>
                <w:color w:val="595959" w:themeColor="text1" w:themeTint="A6"/>
              </w:rPr>
              <w:t xml:space="preserve">Mikroliegumos var veikt atsevišķas darbības, kuras eksperts </w:t>
            </w:r>
            <w:r w:rsidR="00FC7757" w:rsidRPr="00A310CB">
              <w:rPr>
                <w:rFonts w:ascii="Bookman Old Style" w:hAnsi="Bookman Old Style"/>
                <w:color w:val="595959" w:themeColor="text1" w:themeTint="A6"/>
              </w:rPr>
              <w:t xml:space="preserve">atzinis par nepieciešamām vai pieļaujamām, ja tās nekaitē īpaši aizsargājamai sugai vai biotopam, kura aizsardzībai attiecīgais mikroliegums ir izveidots. Šī darbība var būt arī gāzto un lauzto koku ciršana un izvākšana, ja vien eksperts savā atzinumā to ir norādījis kā pieļaujamu. </w:t>
            </w:r>
          </w:p>
          <w:p w14:paraId="424629CD" w14:textId="4EFCF085" w:rsidR="00F67AF3" w:rsidRPr="00A310CB" w:rsidRDefault="00F67AF3" w:rsidP="00706378">
            <w:pPr>
              <w:pStyle w:val="NoSpacing"/>
              <w:jc w:val="both"/>
              <w:rPr>
                <w:rFonts w:ascii="Bookman Old Style" w:hAnsi="Bookman Old Style"/>
                <w:color w:val="595959" w:themeColor="text1" w:themeTint="A6"/>
              </w:rPr>
            </w:pPr>
            <w:r w:rsidRPr="00A310CB">
              <w:rPr>
                <w:rFonts w:ascii="Bookman Old Style" w:hAnsi="Bookman Old Style"/>
                <w:color w:val="595959" w:themeColor="text1" w:themeTint="A6"/>
              </w:rPr>
              <w:t>Mazā ērgļa aizsardzībai izveidotajos mikroliegumos ir atļauta kaitēkļu bojāto egļu izciršana pēc Valsts meža dienesta sanitārā atzinuma, kā arī sauso vai kritušo koku izvākšana 10 kubikmetru apjomā gada laikā īpašuma robežās no 1.oktobra līdz 31.martam. Īpaši aizsargājamajās dabas teritorijās ietilpstošajos mazā ērgļa mikroliegumos konkrēto darbību veikšanai papildus ir nepieciešama Dabas aizsardzības pārvaldes rakstiska atļauja.</w:t>
            </w:r>
          </w:p>
          <w:p w14:paraId="0E69E837" w14:textId="469CF46D" w:rsidR="00F67AF3" w:rsidRPr="00E0005B" w:rsidRDefault="00F67AF3" w:rsidP="00706378">
            <w:pPr>
              <w:pStyle w:val="NoSpacing"/>
              <w:jc w:val="both"/>
              <w:rPr>
                <w:rFonts w:ascii="Bookman Old Style" w:hAnsi="Bookman Old Style"/>
                <w:color w:val="595959" w:themeColor="text1" w:themeTint="A6"/>
              </w:rPr>
            </w:pPr>
            <w:r w:rsidRPr="00A310CB">
              <w:rPr>
                <w:rFonts w:ascii="Bookman Old Style" w:hAnsi="Bookman Old Style"/>
                <w:color w:val="595959" w:themeColor="text1" w:themeTint="A6"/>
              </w:rPr>
              <w:t xml:space="preserve">Ja </w:t>
            </w:r>
            <w:r w:rsidR="00E0005B" w:rsidRPr="00A310CB">
              <w:rPr>
                <w:rFonts w:ascii="Bookman Old Style" w:hAnsi="Bookman Old Style"/>
                <w:color w:val="595959" w:themeColor="text1" w:themeTint="A6"/>
              </w:rPr>
              <w:t xml:space="preserve">mikrolieguma teritorijā  </w:t>
            </w:r>
            <w:r w:rsidRPr="00A310CB">
              <w:rPr>
                <w:rFonts w:ascii="Bookman Old Style" w:hAnsi="Bookman Old Style"/>
                <w:color w:val="595959" w:themeColor="text1" w:themeTint="A6"/>
              </w:rPr>
              <w:t>vējgāze</w:t>
            </w:r>
            <w:r w:rsidR="00E0005B" w:rsidRPr="00A310CB">
              <w:rPr>
                <w:rFonts w:ascii="Bookman Old Style" w:hAnsi="Bookman Old Style"/>
                <w:color w:val="595959" w:themeColor="text1" w:themeTint="A6"/>
              </w:rPr>
              <w:t>,</w:t>
            </w:r>
            <w:r w:rsidRPr="00A310CB">
              <w:rPr>
                <w:rFonts w:ascii="Bookman Old Style" w:hAnsi="Bookman Old Style"/>
                <w:color w:val="595959" w:themeColor="text1" w:themeTint="A6"/>
              </w:rPr>
              <w:t xml:space="preserve"> vējlauze</w:t>
            </w:r>
            <w:r w:rsidR="00E0005B" w:rsidRPr="00A310CB">
              <w:rPr>
                <w:rFonts w:ascii="Bookman Old Style" w:hAnsi="Bookman Old Style"/>
                <w:color w:val="595959" w:themeColor="text1" w:themeTint="A6"/>
              </w:rPr>
              <w:t xml:space="preserve"> faktiski nogāž visu mežu vai daļu no tā</w:t>
            </w:r>
            <w:r w:rsidRPr="00A310CB">
              <w:rPr>
                <w:rFonts w:ascii="Bookman Old Style" w:hAnsi="Bookman Old Style"/>
                <w:color w:val="595959" w:themeColor="text1" w:themeTint="A6"/>
              </w:rPr>
              <w:t xml:space="preserve">, tad </w:t>
            </w:r>
            <w:r w:rsidR="00E0005B" w:rsidRPr="00A310CB">
              <w:rPr>
                <w:rFonts w:ascii="Bookman Old Style" w:hAnsi="Bookman Old Style"/>
                <w:color w:val="595959" w:themeColor="text1" w:themeTint="A6"/>
              </w:rPr>
              <w:t xml:space="preserve">Valsts meža dienestam </w:t>
            </w:r>
            <w:r w:rsidRPr="00A310CB">
              <w:rPr>
                <w:rFonts w:ascii="Bookman Old Style" w:hAnsi="Bookman Old Style"/>
                <w:color w:val="595959" w:themeColor="text1" w:themeTint="A6"/>
              </w:rPr>
              <w:t>jāvērtē</w:t>
            </w:r>
            <w:r w:rsidR="00E0005B" w:rsidRPr="00A310CB">
              <w:rPr>
                <w:rFonts w:ascii="Bookman Old Style" w:hAnsi="Bookman Old Style"/>
                <w:color w:val="595959" w:themeColor="text1" w:themeTint="A6"/>
              </w:rPr>
              <w:t>,</w:t>
            </w:r>
            <w:r w:rsidRPr="00A310CB">
              <w:rPr>
                <w:rFonts w:ascii="Bookman Old Style" w:hAnsi="Bookman Old Style"/>
                <w:color w:val="595959" w:themeColor="text1" w:themeTint="A6"/>
              </w:rPr>
              <w:t xml:space="preserve"> vai </w:t>
            </w:r>
            <w:r w:rsidR="00E0005B" w:rsidRPr="00A310CB">
              <w:rPr>
                <w:rFonts w:ascii="Bookman Old Style" w:hAnsi="Bookman Old Style"/>
                <w:color w:val="595959" w:themeColor="text1" w:themeTint="A6"/>
              </w:rPr>
              <w:t>šajā teritorijā noteiktie aprobežojumi joprojām kalpo mērķim, kādam mikroliegums izveidots</w:t>
            </w:r>
            <w:r w:rsidRPr="00A310CB">
              <w:rPr>
                <w:rFonts w:ascii="Bookman Old Style" w:hAnsi="Bookman Old Style"/>
                <w:color w:val="595959" w:themeColor="text1" w:themeTint="A6"/>
              </w:rPr>
              <w:t>. Ja nē</w:t>
            </w:r>
            <w:r w:rsidR="00E0005B" w:rsidRPr="00A310CB">
              <w:rPr>
                <w:rFonts w:ascii="Bookman Old Style" w:hAnsi="Bookman Old Style"/>
                <w:color w:val="595959" w:themeColor="text1" w:themeTint="A6"/>
              </w:rPr>
              <w:t>,</w:t>
            </w:r>
            <w:r w:rsidRPr="00A310CB">
              <w:rPr>
                <w:rFonts w:ascii="Bookman Old Style" w:hAnsi="Bookman Old Style"/>
                <w:color w:val="595959" w:themeColor="text1" w:themeTint="A6"/>
              </w:rPr>
              <w:t xml:space="preserve"> tad </w:t>
            </w:r>
            <w:r w:rsidR="00E0005B" w:rsidRPr="00A310CB">
              <w:rPr>
                <w:rFonts w:ascii="Bookman Old Style" w:hAnsi="Bookman Old Style"/>
                <w:color w:val="595959" w:themeColor="text1" w:themeTint="A6"/>
              </w:rPr>
              <w:t xml:space="preserve">Valsts meža dienests lemj par mikrolieguma statusa atcelšanu vai mikrolieguma robežu izmaiņām, </w:t>
            </w:r>
            <w:r w:rsidRPr="00A310CB">
              <w:rPr>
                <w:rFonts w:ascii="Bookman Old Style" w:hAnsi="Bookman Old Style"/>
                <w:color w:val="595959" w:themeColor="text1" w:themeTint="A6"/>
              </w:rPr>
              <w:t>balstoties uz eksperta atzinumu</w:t>
            </w:r>
            <w:r w:rsidR="00E0005B" w:rsidRPr="00A310CB">
              <w:rPr>
                <w:rFonts w:ascii="Bookman Old Style" w:hAnsi="Bookman Old Style"/>
                <w:color w:val="595959" w:themeColor="text1" w:themeTint="A6"/>
              </w:rPr>
              <w:t>.</w:t>
            </w:r>
            <w:r w:rsidRPr="00E0005B">
              <w:rPr>
                <w:color w:val="595959" w:themeColor="text1" w:themeTint="A6"/>
                <w:sz w:val="24"/>
                <w:szCs w:val="24"/>
              </w:rPr>
              <w:t xml:space="preserve"> </w:t>
            </w:r>
          </w:p>
        </w:tc>
      </w:tr>
      <w:tr w:rsidR="00E0005B" w:rsidRPr="00E0005B" w14:paraId="461E5AEA" w14:textId="77777777" w:rsidTr="00A310CB">
        <w:tc>
          <w:tcPr>
            <w:tcW w:w="652" w:type="dxa"/>
          </w:tcPr>
          <w:p w14:paraId="2833E090" w14:textId="149A7E88" w:rsidR="00F67AF3" w:rsidRPr="00E0005B" w:rsidRDefault="00F67AF3" w:rsidP="00F67AF3">
            <w:pPr>
              <w:jc w:val="center"/>
              <w:rPr>
                <w:rFonts w:ascii="Bookman Old Style" w:hAnsi="Bookman Old Style"/>
                <w:color w:val="595959" w:themeColor="text1" w:themeTint="A6"/>
              </w:rPr>
            </w:pPr>
            <w:r w:rsidRPr="00E0005B">
              <w:rPr>
                <w:rFonts w:ascii="Bookman Old Style" w:hAnsi="Bookman Old Style"/>
                <w:color w:val="595959" w:themeColor="text1" w:themeTint="A6"/>
              </w:rPr>
              <w:t>2.</w:t>
            </w:r>
          </w:p>
        </w:tc>
        <w:tc>
          <w:tcPr>
            <w:tcW w:w="3171" w:type="dxa"/>
          </w:tcPr>
          <w:p w14:paraId="64658004" w14:textId="362C3D25" w:rsidR="0032371C" w:rsidRPr="0013510D" w:rsidRDefault="0032371C" w:rsidP="0032371C">
            <w:pPr>
              <w:rPr>
                <w:rFonts w:ascii="Bookman Old Style" w:hAnsi="Bookman Old Style"/>
                <w:color w:val="595959" w:themeColor="text1" w:themeTint="A6"/>
              </w:rPr>
            </w:pPr>
            <w:r w:rsidRPr="0013510D">
              <w:rPr>
                <w:rFonts w:ascii="Bookman Old Style" w:hAnsi="Bookman Old Style"/>
                <w:color w:val="595959" w:themeColor="text1" w:themeTint="A6"/>
              </w:rPr>
              <w:t>Vai Valsts meža dienests plāno iepirkt juridiskos pakalpojumus, lai labāk veiktos tiesas procesos par mikroliegumiem, kur ir acīmredzama netaisnība. Piemēram dabas aizsardzības pārvalde iepērk juridiskos pakalpojumus pa 40 tūkst EUR, tātad tāda prakse ir iespējama. . .</w:t>
            </w:r>
          </w:p>
          <w:p w14:paraId="693AC861" w14:textId="77777777" w:rsidR="00F67AF3" w:rsidRPr="0013510D" w:rsidRDefault="00F67AF3">
            <w:pPr>
              <w:rPr>
                <w:rFonts w:ascii="Bookman Old Style" w:hAnsi="Bookman Old Style"/>
                <w:color w:val="595959" w:themeColor="text1" w:themeTint="A6"/>
              </w:rPr>
            </w:pPr>
          </w:p>
        </w:tc>
        <w:tc>
          <w:tcPr>
            <w:tcW w:w="10125" w:type="dxa"/>
          </w:tcPr>
          <w:p w14:paraId="0F2629CD" w14:textId="7365BE2C" w:rsidR="00F67AF3" w:rsidRPr="00E0005B" w:rsidRDefault="0032371C" w:rsidP="00706378">
            <w:pPr>
              <w:jc w:val="both"/>
              <w:rPr>
                <w:rFonts w:ascii="Bookman Old Style" w:hAnsi="Bookman Old Style"/>
                <w:color w:val="595959" w:themeColor="text1" w:themeTint="A6"/>
              </w:rPr>
            </w:pPr>
            <w:r>
              <w:rPr>
                <w:rFonts w:ascii="Bookman Old Style" w:hAnsi="Bookman Old Style"/>
                <w:color w:val="595959" w:themeColor="text1" w:themeTint="A6"/>
              </w:rPr>
              <w:t>Nē, neplānojam iepirkt juridiskos pakalpojumus šim mērķim</w:t>
            </w:r>
            <w:r w:rsidR="00386651">
              <w:rPr>
                <w:rFonts w:ascii="Bookman Old Style" w:hAnsi="Bookman Old Style"/>
                <w:color w:val="595959" w:themeColor="text1" w:themeTint="A6"/>
              </w:rPr>
              <w:t>, jo problēma drīzāk ir argumentu un sociāli ekonomisko aspektu izvērtējuma trūkums</w:t>
            </w:r>
            <w:r w:rsidR="001B59F3">
              <w:rPr>
                <w:rFonts w:ascii="Bookman Old Style" w:hAnsi="Bookman Old Style"/>
                <w:color w:val="595959" w:themeColor="text1" w:themeTint="A6"/>
              </w:rPr>
              <w:t xml:space="preserve"> (un to mēs sākām risināt)</w:t>
            </w:r>
            <w:r w:rsidR="00386651">
              <w:rPr>
                <w:rFonts w:ascii="Bookman Old Style" w:hAnsi="Bookman Old Style"/>
                <w:color w:val="595959" w:themeColor="text1" w:themeTint="A6"/>
              </w:rPr>
              <w:t>, nevis iestādes pārstāvības kvalitāte tiesā</w:t>
            </w:r>
            <w:r>
              <w:rPr>
                <w:rFonts w:ascii="Bookman Old Style" w:hAnsi="Bookman Old Style"/>
                <w:color w:val="595959" w:themeColor="text1" w:themeTint="A6"/>
              </w:rPr>
              <w:t xml:space="preserve">. </w:t>
            </w:r>
            <w:r w:rsidR="00025627">
              <w:rPr>
                <w:rFonts w:ascii="Bookman Old Style" w:hAnsi="Bookman Old Style"/>
                <w:color w:val="595959" w:themeColor="text1" w:themeTint="A6"/>
              </w:rPr>
              <w:t xml:space="preserve">Valsts meža dienestā strādā </w:t>
            </w:r>
            <w:r w:rsidR="00025627" w:rsidRPr="00386651">
              <w:rPr>
                <w:rFonts w:ascii="Bookman Old Style" w:hAnsi="Bookman Old Style"/>
                <w:color w:val="595959" w:themeColor="text1" w:themeTint="A6"/>
              </w:rPr>
              <w:t>augsti kvalificēti</w:t>
            </w:r>
            <w:r w:rsidR="00AC2643" w:rsidRPr="00386651">
              <w:rPr>
                <w:rFonts w:ascii="Bookman Old Style" w:hAnsi="Bookman Old Style"/>
                <w:color w:val="595959" w:themeColor="text1" w:themeTint="A6"/>
              </w:rPr>
              <w:t>, kompetenti</w:t>
            </w:r>
            <w:r w:rsidR="00025627" w:rsidRPr="00386651">
              <w:rPr>
                <w:rFonts w:ascii="Bookman Old Style" w:hAnsi="Bookman Old Style"/>
                <w:color w:val="595959" w:themeColor="text1" w:themeTint="A6"/>
              </w:rPr>
              <w:t xml:space="preserve"> juristi ar padziļinātu izpratni meža nozares profesionālajos jautājumos</w:t>
            </w:r>
            <w:r w:rsidR="00AC2643" w:rsidRPr="00386651">
              <w:rPr>
                <w:rFonts w:ascii="Bookman Old Style" w:hAnsi="Bookman Old Style"/>
                <w:color w:val="595959" w:themeColor="text1" w:themeTint="A6"/>
              </w:rPr>
              <w:t xml:space="preserve">. </w:t>
            </w:r>
            <w:r w:rsidR="00386651" w:rsidRPr="00386651">
              <w:rPr>
                <w:rFonts w:ascii="Bookman Old Style" w:hAnsi="Bookman Old Style"/>
                <w:color w:val="595959" w:themeColor="text1" w:themeTint="A6"/>
              </w:rPr>
              <w:t xml:space="preserve">Valsts meža dienestam </w:t>
            </w:r>
            <w:r w:rsidR="00386651">
              <w:rPr>
                <w:rFonts w:ascii="Bookman Old Style" w:hAnsi="Bookman Old Style"/>
                <w:color w:val="595959" w:themeColor="text1" w:themeTint="A6"/>
              </w:rPr>
              <w:t>k</w:t>
            </w:r>
            <w:r w:rsidR="00025627" w:rsidRPr="00386651">
              <w:rPr>
                <w:rFonts w:ascii="Bookman Old Style" w:hAnsi="Bookman Old Style"/>
                <w:color w:val="595959" w:themeColor="text1" w:themeTint="A6"/>
              </w:rPr>
              <w:t>ā valsts pārvaldes iestādei jārīkojas tikai un vienīgi sabiedrības interesēs</w:t>
            </w:r>
            <w:r w:rsidR="00AC2643" w:rsidRPr="00386651">
              <w:rPr>
                <w:rFonts w:ascii="Bookman Old Style" w:hAnsi="Bookman Old Style"/>
                <w:color w:val="595959" w:themeColor="text1" w:themeTint="A6"/>
              </w:rPr>
              <w:t xml:space="preserve">, tādejādi </w:t>
            </w:r>
            <w:r w:rsidR="00346D6E" w:rsidRPr="00386651">
              <w:rPr>
                <w:rFonts w:ascii="Bookman Old Style" w:hAnsi="Bookman Old Style"/>
                <w:color w:val="595959" w:themeColor="text1" w:themeTint="A6"/>
              </w:rPr>
              <w:t>jāapzinās, ka tiesas procesos nevaram aizstāvēt tikai meža īpašnieka intereses.</w:t>
            </w:r>
            <w:r w:rsidR="007E65EF" w:rsidRPr="00386651">
              <w:rPr>
                <w:rFonts w:ascii="Bookman Old Style" w:hAnsi="Bookman Old Style"/>
                <w:color w:val="595959" w:themeColor="text1" w:themeTint="A6"/>
              </w:rPr>
              <w:t xml:space="preserve"> </w:t>
            </w:r>
            <w:r w:rsidR="00706378" w:rsidRPr="00706378">
              <w:rPr>
                <w:rFonts w:ascii="Bookman Old Style" w:hAnsi="Bookman Old Style"/>
                <w:color w:val="595959" w:themeColor="text1" w:themeTint="A6"/>
              </w:rPr>
              <w:t xml:space="preserve">Mikroliegumu veidošanas process pats par sevi ir saistīts ar pretēju interešu sadursmi, tāpēc tiesvedības ir neizbēgamas. Vides aktīvisti iestājas par mikrolieguma veidošanu, meža īpašnieks – par īpašuma neaprobežotu izmantošanu pēc saviem ieskatiem, savukārt Valsts meža dienestam jābūt neitrālam, izvērtējot mikrolieguma veidošanas pamatotību un </w:t>
            </w:r>
            <w:r w:rsidR="00A310CB">
              <w:rPr>
                <w:rFonts w:ascii="Bookman Old Style" w:hAnsi="Bookman Old Style"/>
                <w:color w:val="595959" w:themeColor="text1" w:themeTint="A6"/>
              </w:rPr>
              <w:t>sabalansējot pušu un sabiedrības</w:t>
            </w:r>
            <w:r w:rsidR="00706378" w:rsidRPr="00706378">
              <w:rPr>
                <w:rFonts w:ascii="Bookman Old Style" w:hAnsi="Bookman Old Style"/>
                <w:color w:val="595959" w:themeColor="text1" w:themeTint="A6"/>
              </w:rPr>
              <w:t xml:space="preserve"> intere</w:t>
            </w:r>
            <w:r w:rsidR="00A310CB">
              <w:rPr>
                <w:rFonts w:ascii="Bookman Old Style" w:hAnsi="Bookman Old Style"/>
                <w:color w:val="595959" w:themeColor="text1" w:themeTint="A6"/>
              </w:rPr>
              <w:t>ses</w:t>
            </w:r>
            <w:r w:rsidR="00706378" w:rsidRPr="00706378">
              <w:rPr>
                <w:rFonts w:ascii="Bookman Old Style" w:hAnsi="Bookman Old Style"/>
                <w:color w:val="595959" w:themeColor="text1" w:themeTint="A6"/>
              </w:rPr>
              <w:t xml:space="preserve">. Arī tiesa vērtē katru gadījumu un tajā iesaistīto interešu aizsardzības pamatotību. Ikviena </w:t>
            </w:r>
            <w:r w:rsidR="00A310CB">
              <w:rPr>
                <w:rFonts w:ascii="Bookman Old Style" w:hAnsi="Bookman Old Style"/>
                <w:color w:val="595959" w:themeColor="text1" w:themeTint="A6"/>
              </w:rPr>
              <w:t>privāt</w:t>
            </w:r>
            <w:r w:rsidR="00706378" w:rsidRPr="00706378">
              <w:rPr>
                <w:rFonts w:ascii="Bookman Old Style" w:hAnsi="Bookman Old Style"/>
                <w:color w:val="595959" w:themeColor="text1" w:themeTint="A6"/>
              </w:rPr>
              <w:t>persona savu tiesisko interešu aizstāvībai administratīvajā procesā var piesaistīt juristu.</w:t>
            </w:r>
          </w:p>
        </w:tc>
      </w:tr>
      <w:tr w:rsidR="00ED1A6B" w:rsidRPr="00ED1A6B" w14:paraId="63160E29" w14:textId="77777777" w:rsidTr="00A310CB">
        <w:tc>
          <w:tcPr>
            <w:tcW w:w="652" w:type="dxa"/>
          </w:tcPr>
          <w:p w14:paraId="15929AC0" w14:textId="214F35CE" w:rsidR="00F67AF3" w:rsidRPr="00ED1A6B" w:rsidRDefault="00F67AF3" w:rsidP="00F67AF3">
            <w:pPr>
              <w:jc w:val="center"/>
              <w:rPr>
                <w:rFonts w:ascii="Bookman Old Style" w:hAnsi="Bookman Old Style"/>
                <w:color w:val="595959" w:themeColor="text1" w:themeTint="A6"/>
              </w:rPr>
            </w:pPr>
            <w:r w:rsidRPr="00ED1A6B">
              <w:rPr>
                <w:rFonts w:ascii="Bookman Old Style" w:hAnsi="Bookman Old Style"/>
                <w:color w:val="595959" w:themeColor="text1" w:themeTint="A6"/>
              </w:rPr>
              <w:lastRenderedPageBreak/>
              <w:t>3.</w:t>
            </w:r>
          </w:p>
        </w:tc>
        <w:tc>
          <w:tcPr>
            <w:tcW w:w="3171" w:type="dxa"/>
          </w:tcPr>
          <w:p w14:paraId="34478620" w14:textId="3D4BFFE6" w:rsidR="00F67AF3" w:rsidRPr="0013510D" w:rsidRDefault="001B59F3">
            <w:pPr>
              <w:rPr>
                <w:rFonts w:ascii="Bookman Old Style" w:hAnsi="Bookman Old Style"/>
                <w:color w:val="595959" w:themeColor="text1" w:themeTint="A6"/>
              </w:rPr>
            </w:pPr>
            <w:r w:rsidRPr="0013510D">
              <w:rPr>
                <w:rFonts w:ascii="Bookman Old Style" w:hAnsi="Bookman Old Style"/>
                <w:color w:val="595959" w:themeColor="text1" w:themeTint="A6"/>
              </w:rPr>
              <w:t>Par obligātajām inventarizācijām - kāda iespēja veikt īpašniekam inventarizāciju, ja meža inventarizāciju, ja īpašnieks ir pensionārs vai cilvēks ir maziem iztikas līdzekļiem un taksatoru nevar atļauties, bet likums to pieprasa, ka arī nekādu darbību neplāno veikt?</w:t>
            </w:r>
          </w:p>
        </w:tc>
        <w:tc>
          <w:tcPr>
            <w:tcW w:w="10125" w:type="dxa"/>
          </w:tcPr>
          <w:p w14:paraId="345E1A3B" w14:textId="77777777" w:rsidR="00ED1A6B" w:rsidRDefault="00ED1A6B" w:rsidP="0013510D">
            <w:pPr>
              <w:pStyle w:val="NoSpacing"/>
              <w:jc w:val="both"/>
              <w:rPr>
                <w:rFonts w:ascii="Bookman Old Style" w:hAnsi="Bookman Old Style"/>
                <w:color w:val="595959" w:themeColor="text1" w:themeTint="A6"/>
              </w:rPr>
            </w:pPr>
          </w:p>
          <w:p w14:paraId="4235BBD2" w14:textId="720B2967" w:rsidR="00F67AF3" w:rsidRPr="00ED1A6B" w:rsidRDefault="001B59F3" w:rsidP="0013510D">
            <w:pPr>
              <w:pStyle w:val="NoSpacing"/>
              <w:jc w:val="both"/>
              <w:rPr>
                <w:rFonts w:ascii="Bookman Old Style" w:hAnsi="Bookman Old Style"/>
                <w:color w:val="595959" w:themeColor="text1" w:themeTint="A6"/>
              </w:rPr>
            </w:pPr>
            <w:r w:rsidRPr="00ED1A6B">
              <w:rPr>
                <w:rFonts w:ascii="Bookman Old Style" w:hAnsi="Bookman Old Style"/>
                <w:color w:val="595959" w:themeColor="text1" w:themeTint="A6"/>
              </w:rPr>
              <w:t>Pašreiz meža inventarizācijas izmaksas mežam līdz 10 ha izmaksā robežās starp 100</w:t>
            </w:r>
            <w:r w:rsidR="0013510D">
              <w:rPr>
                <w:rFonts w:ascii="Bookman Old Style" w:hAnsi="Bookman Old Style"/>
                <w:color w:val="595959" w:themeColor="text1" w:themeTint="A6"/>
              </w:rPr>
              <w:t xml:space="preserve"> -</w:t>
            </w:r>
            <w:r w:rsidRPr="00ED1A6B">
              <w:rPr>
                <w:rFonts w:ascii="Bookman Old Style" w:hAnsi="Bookman Old Style"/>
                <w:color w:val="595959" w:themeColor="text1" w:themeTint="A6"/>
              </w:rPr>
              <w:t>140 EUR, kas ir samērīgi pret iespēju savā mežā iegūt malku vai lietaskokus, kuru pārdošanas cena jau par 2 m</w:t>
            </w:r>
            <w:r w:rsidRPr="00ED1A6B">
              <w:rPr>
                <w:rFonts w:ascii="Bookman Old Style" w:hAnsi="Bookman Old Style"/>
                <w:color w:val="595959" w:themeColor="text1" w:themeTint="A6"/>
                <w:vertAlign w:val="superscript"/>
              </w:rPr>
              <w:t>3</w:t>
            </w:r>
            <w:r w:rsidRPr="00ED1A6B">
              <w:rPr>
                <w:rFonts w:ascii="Bookman Old Style" w:hAnsi="Bookman Old Style"/>
                <w:color w:val="595959" w:themeColor="text1" w:themeTint="A6"/>
              </w:rPr>
              <w:t xml:space="preserve"> pārsniedz inventarizācijas izmaksas. Arī nesagarinātas malkas cena tirgū par 5 m</w:t>
            </w:r>
            <w:r w:rsidRPr="00ED1A6B">
              <w:rPr>
                <w:rFonts w:ascii="Bookman Old Style" w:hAnsi="Bookman Old Style"/>
                <w:color w:val="595959" w:themeColor="text1" w:themeTint="A6"/>
                <w:vertAlign w:val="superscript"/>
              </w:rPr>
              <w:t>3</w:t>
            </w:r>
            <w:r w:rsidR="00F970BB" w:rsidRPr="00ED1A6B">
              <w:rPr>
                <w:rFonts w:ascii="Bookman Old Style" w:hAnsi="Bookman Old Style"/>
                <w:color w:val="595959" w:themeColor="text1" w:themeTint="A6"/>
                <w:vertAlign w:val="superscript"/>
              </w:rPr>
              <w:t xml:space="preserve"> </w:t>
            </w:r>
            <w:r w:rsidR="00F970BB" w:rsidRPr="00ED1A6B">
              <w:rPr>
                <w:rFonts w:ascii="Bookman Old Style" w:hAnsi="Bookman Old Style"/>
                <w:color w:val="595959" w:themeColor="text1" w:themeTint="A6"/>
              </w:rPr>
              <w:t>atsvērs meža inventarizācijas izmaksas</w:t>
            </w:r>
            <w:r w:rsidRPr="00ED1A6B">
              <w:rPr>
                <w:rFonts w:ascii="Bookman Old Style" w:hAnsi="Bookman Old Style"/>
                <w:color w:val="595959" w:themeColor="text1" w:themeTint="A6"/>
              </w:rPr>
              <w:t xml:space="preserve">. </w:t>
            </w:r>
          </w:p>
          <w:p w14:paraId="36F15351" w14:textId="3237C20F" w:rsidR="00ED1A6B" w:rsidRPr="00ED1A6B" w:rsidRDefault="0013510D" w:rsidP="0013510D">
            <w:pPr>
              <w:pStyle w:val="NoSpacing"/>
              <w:jc w:val="both"/>
              <w:rPr>
                <w:rFonts w:ascii="Bookman Old Style" w:hAnsi="Bookman Old Style"/>
                <w:color w:val="595959" w:themeColor="text1" w:themeTint="A6"/>
              </w:rPr>
            </w:pPr>
            <w:r>
              <w:rPr>
                <w:rFonts w:ascii="Bookman Old Style" w:hAnsi="Bookman Old Style"/>
                <w:color w:val="595959" w:themeColor="text1" w:themeTint="A6"/>
              </w:rPr>
              <w:t>Tā kā</w:t>
            </w:r>
            <w:r w:rsidR="00ED1A6B" w:rsidRPr="00ED1A6B">
              <w:rPr>
                <w:rFonts w:ascii="Bookman Old Style" w:hAnsi="Bookman Old Style"/>
                <w:color w:val="595959" w:themeColor="text1" w:themeTint="A6"/>
              </w:rPr>
              <w:t xml:space="preserve"> meža inventarizācija jāveic reizi 20 gados, tad minētie izdevumi nav uzskatāmi par nepārvaramu šķērsli šī pienākuma izpild</w:t>
            </w:r>
            <w:r w:rsidR="00ED1A6B">
              <w:rPr>
                <w:rFonts w:ascii="Bookman Old Style" w:hAnsi="Bookman Old Style"/>
                <w:color w:val="595959" w:themeColor="text1" w:themeTint="A6"/>
              </w:rPr>
              <w:t>ei</w:t>
            </w:r>
            <w:r>
              <w:rPr>
                <w:rFonts w:ascii="Bookman Old Style" w:hAnsi="Bookman Old Style"/>
                <w:color w:val="595959" w:themeColor="text1" w:themeTint="A6"/>
              </w:rPr>
              <w:t xml:space="preserve"> arī cilvēkiem ar nelieliem ienākumiem</w:t>
            </w:r>
            <w:r w:rsidR="00ED1A6B" w:rsidRPr="00ED1A6B">
              <w:rPr>
                <w:rFonts w:ascii="Bookman Old Style" w:hAnsi="Bookman Old Style"/>
                <w:color w:val="595959" w:themeColor="text1" w:themeTint="A6"/>
              </w:rPr>
              <w:t>.</w:t>
            </w:r>
            <w:r>
              <w:rPr>
                <w:rFonts w:ascii="Bookman Old Style" w:hAnsi="Bookman Old Style"/>
                <w:color w:val="595959" w:themeColor="text1" w:themeTint="A6"/>
              </w:rPr>
              <w:t xml:space="preserve"> </w:t>
            </w:r>
          </w:p>
        </w:tc>
      </w:tr>
      <w:tr w:rsidR="00260AF5" w:rsidRPr="00260AF5" w14:paraId="5527185C" w14:textId="77777777" w:rsidTr="00A310CB">
        <w:tc>
          <w:tcPr>
            <w:tcW w:w="652" w:type="dxa"/>
          </w:tcPr>
          <w:p w14:paraId="602A1C86" w14:textId="209696F5" w:rsidR="00F67AF3" w:rsidRPr="00260AF5" w:rsidRDefault="00F67AF3" w:rsidP="00F67AF3">
            <w:pPr>
              <w:jc w:val="center"/>
              <w:rPr>
                <w:rFonts w:ascii="Bookman Old Style" w:hAnsi="Bookman Old Style"/>
                <w:color w:val="595959" w:themeColor="text1" w:themeTint="A6"/>
              </w:rPr>
            </w:pPr>
            <w:r w:rsidRPr="00260AF5">
              <w:rPr>
                <w:rFonts w:ascii="Bookman Old Style" w:hAnsi="Bookman Old Style"/>
                <w:color w:val="595959" w:themeColor="text1" w:themeTint="A6"/>
              </w:rPr>
              <w:t>4.</w:t>
            </w:r>
          </w:p>
        </w:tc>
        <w:tc>
          <w:tcPr>
            <w:tcW w:w="3171" w:type="dxa"/>
          </w:tcPr>
          <w:p w14:paraId="4A953485" w14:textId="6B3D59B2" w:rsidR="00F67AF3" w:rsidRPr="0013510D" w:rsidRDefault="001B59F3">
            <w:pPr>
              <w:rPr>
                <w:rFonts w:ascii="Bookman Old Style" w:hAnsi="Bookman Old Style"/>
                <w:color w:val="595959" w:themeColor="text1" w:themeTint="A6"/>
              </w:rPr>
            </w:pPr>
            <w:r w:rsidRPr="0013510D">
              <w:rPr>
                <w:rFonts w:ascii="Bookman Old Style" w:hAnsi="Bookman Old Style"/>
                <w:color w:val="595959" w:themeColor="text1" w:themeTint="A6"/>
              </w:rPr>
              <w:t xml:space="preserve">Jautājums par pārnadžu uzskaiti mūsu mežos: kā tas reāli notiek? </w:t>
            </w:r>
            <w:r w:rsidR="0013510D">
              <w:rPr>
                <w:rFonts w:ascii="Bookman Old Style" w:hAnsi="Bookman Old Style"/>
                <w:color w:val="595959" w:themeColor="text1" w:themeTint="A6"/>
              </w:rPr>
              <w:t>V</w:t>
            </w:r>
            <w:r w:rsidRPr="0013510D">
              <w:rPr>
                <w:rFonts w:ascii="Bookman Old Style" w:hAnsi="Bookman Old Style"/>
                <w:color w:val="595959" w:themeColor="text1" w:themeTint="A6"/>
              </w:rPr>
              <w:t>ai un kā tas ietekmē atšaujamo zvēru limitu?</w:t>
            </w:r>
          </w:p>
        </w:tc>
        <w:tc>
          <w:tcPr>
            <w:tcW w:w="10125" w:type="dxa"/>
          </w:tcPr>
          <w:p w14:paraId="79AE473B" w14:textId="77777777" w:rsidR="0013510D" w:rsidRDefault="009848A3" w:rsidP="0013510D">
            <w:pPr>
              <w:jc w:val="both"/>
              <w:rPr>
                <w:rFonts w:ascii="Bookman Old Style" w:hAnsi="Bookman Old Style"/>
                <w:color w:val="595959" w:themeColor="text1" w:themeTint="A6"/>
              </w:rPr>
            </w:pPr>
            <w:r w:rsidRPr="00260AF5">
              <w:rPr>
                <w:rFonts w:ascii="Bookman Old Style" w:hAnsi="Bookman Old Style"/>
                <w:color w:val="595959" w:themeColor="text1" w:themeTint="A6"/>
              </w:rPr>
              <w:t>Valsts meža dienests</w:t>
            </w:r>
            <w:r w:rsidR="00105F2D" w:rsidRPr="00260AF5">
              <w:rPr>
                <w:rFonts w:ascii="Bookman Old Style" w:hAnsi="Bookman Old Style"/>
                <w:color w:val="595959" w:themeColor="text1" w:themeTint="A6"/>
              </w:rPr>
              <w:t xml:space="preserve"> veic medījamo sugu populācijas stāvokļa </w:t>
            </w:r>
            <w:r w:rsidR="00105F2D" w:rsidRPr="0013510D">
              <w:rPr>
                <w:rFonts w:ascii="Bookman Old Style" w:hAnsi="Bookman Old Style"/>
                <w:color w:val="595959" w:themeColor="text1" w:themeTint="A6"/>
              </w:rPr>
              <w:t>novērtēšanu</w:t>
            </w:r>
            <w:r w:rsidR="00105F2D" w:rsidRPr="00260AF5">
              <w:rPr>
                <w:rFonts w:ascii="Bookman Old Style" w:hAnsi="Bookman Old Style"/>
                <w:color w:val="595959" w:themeColor="text1" w:themeTint="A6"/>
              </w:rPr>
              <w:t xml:space="preserve">, kur viens no rādītājiem ir noteiktais dzīvnieku skaits. Skaitu </w:t>
            </w:r>
            <w:r w:rsidRPr="00260AF5">
              <w:rPr>
                <w:rFonts w:ascii="Bookman Old Style" w:hAnsi="Bookman Old Style"/>
                <w:color w:val="595959" w:themeColor="text1" w:themeTint="A6"/>
              </w:rPr>
              <w:t xml:space="preserve">nosaka, izmantojot </w:t>
            </w:r>
            <w:r w:rsidR="00105F2D" w:rsidRPr="00260AF5">
              <w:rPr>
                <w:rFonts w:ascii="Bookman Old Style" w:hAnsi="Bookman Old Style"/>
                <w:color w:val="595959" w:themeColor="text1" w:themeTint="A6"/>
              </w:rPr>
              <w:t>informācij</w:t>
            </w:r>
            <w:r w:rsidRPr="00260AF5">
              <w:rPr>
                <w:rFonts w:ascii="Bookman Old Style" w:hAnsi="Bookman Old Style"/>
                <w:color w:val="595959" w:themeColor="text1" w:themeTint="A6"/>
              </w:rPr>
              <w:t>u</w:t>
            </w:r>
            <w:r w:rsidR="00105F2D" w:rsidRPr="00260AF5">
              <w:rPr>
                <w:rFonts w:ascii="Bookman Old Style" w:hAnsi="Bookman Old Style"/>
                <w:color w:val="595959" w:themeColor="text1" w:themeTint="A6"/>
              </w:rPr>
              <w:t xml:space="preserve"> par nomedītajiem un bojā gājušajiem medījamiem dzīvniekiem vai veicot pārnadžu uzskaiti. Fizisk</w:t>
            </w:r>
            <w:r w:rsidRPr="00260AF5">
              <w:rPr>
                <w:rFonts w:ascii="Bookman Old Style" w:hAnsi="Bookman Old Style"/>
                <w:color w:val="595959" w:themeColor="text1" w:themeTint="A6"/>
              </w:rPr>
              <w:t>u</w:t>
            </w:r>
            <w:r w:rsidR="00105F2D" w:rsidRPr="00260AF5">
              <w:rPr>
                <w:rFonts w:ascii="Bookman Old Style" w:hAnsi="Bookman Old Style"/>
                <w:color w:val="595959" w:themeColor="text1" w:themeTint="A6"/>
              </w:rPr>
              <w:t xml:space="preserve"> pārnadžu uzskait</w:t>
            </w:r>
            <w:r w:rsidRPr="00260AF5">
              <w:rPr>
                <w:rFonts w:ascii="Bookman Old Style" w:hAnsi="Bookman Old Style"/>
                <w:color w:val="595959" w:themeColor="text1" w:themeTint="A6"/>
              </w:rPr>
              <w:t>i</w:t>
            </w:r>
            <w:r w:rsidR="00105F2D" w:rsidRPr="00260AF5">
              <w:rPr>
                <w:rFonts w:ascii="Bookman Old Style" w:hAnsi="Bookman Old Style"/>
                <w:color w:val="595959" w:themeColor="text1" w:themeTint="A6"/>
              </w:rPr>
              <w:t xml:space="preserve"> veicam, ja </w:t>
            </w:r>
            <w:r w:rsidRPr="00260AF5">
              <w:rPr>
                <w:rFonts w:ascii="Bookman Old Style" w:hAnsi="Bookman Old Style"/>
                <w:color w:val="595959" w:themeColor="text1" w:themeTint="A6"/>
              </w:rPr>
              <w:t xml:space="preserve">vērojams būtisks </w:t>
            </w:r>
            <w:r w:rsidR="00105F2D" w:rsidRPr="00260AF5">
              <w:rPr>
                <w:rFonts w:ascii="Bookman Old Style" w:hAnsi="Bookman Old Style"/>
                <w:color w:val="595959" w:themeColor="text1" w:themeTint="A6"/>
              </w:rPr>
              <w:t>populācijas pieaugum</w:t>
            </w:r>
            <w:r w:rsidRPr="00260AF5">
              <w:rPr>
                <w:rFonts w:ascii="Bookman Old Style" w:hAnsi="Bookman Old Style"/>
                <w:color w:val="595959" w:themeColor="text1" w:themeTint="A6"/>
              </w:rPr>
              <w:t>s</w:t>
            </w:r>
            <w:r w:rsidR="00105F2D" w:rsidRPr="00260AF5">
              <w:rPr>
                <w:rFonts w:ascii="Bookman Old Style" w:hAnsi="Bookman Old Style"/>
                <w:color w:val="595959" w:themeColor="text1" w:themeTint="A6"/>
              </w:rPr>
              <w:t xml:space="preserve"> salīdzinājumā ar iepriekšējo novērtējuma periodu vai ir domstarpības par dzīvnieku skaitu. Dzīvnieku uzskaitei ir noteiktas metodes – datus</w:t>
            </w:r>
            <w:r w:rsidRPr="00260AF5">
              <w:rPr>
                <w:rFonts w:ascii="Bookman Old Style" w:hAnsi="Bookman Old Style"/>
                <w:color w:val="595959" w:themeColor="text1" w:themeTint="A6"/>
              </w:rPr>
              <w:t xml:space="preserve"> dabā</w:t>
            </w:r>
            <w:r w:rsidR="00105F2D" w:rsidRPr="00260AF5">
              <w:rPr>
                <w:rFonts w:ascii="Bookman Old Style" w:hAnsi="Bookman Old Style"/>
                <w:color w:val="595959" w:themeColor="text1" w:themeTint="A6"/>
              </w:rPr>
              <w:t xml:space="preserve"> ievāc mednieki, </w:t>
            </w:r>
            <w:r w:rsidRPr="00260AF5">
              <w:rPr>
                <w:rFonts w:ascii="Bookman Old Style" w:hAnsi="Bookman Old Style"/>
                <w:color w:val="595959" w:themeColor="text1" w:themeTint="A6"/>
              </w:rPr>
              <w:t xml:space="preserve">Valsts meža dienesta darbinieki, </w:t>
            </w:r>
            <w:r w:rsidR="00105F2D" w:rsidRPr="00260AF5">
              <w:rPr>
                <w:rFonts w:ascii="Bookman Old Style" w:hAnsi="Bookman Old Style"/>
                <w:color w:val="595959" w:themeColor="text1" w:themeTint="A6"/>
              </w:rPr>
              <w:t xml:space="preserve">un atbilstoši dabā iegūtajiem datiem tiek noteikts dzīvnieku skaits. </w:t>
            </w:r>
            <w:r w:rsidRPr="00260AF5">
              <w:rPr>
                <w:rFonts w:ascii="Bookman Old Style" w:hAnsi="Bookman Old Style"/>
                <w:color w:val="595959" w:themeColor="text1" w:themeTint="A6"/>
              </w:rPr>
              <w:t>Šādi noteiktais dzīvnieku skaits tieši ietekmē p</w:t>
            </w:r>
            <w:r w:rsidR="00105F2D" w:rsidRPr="00260AF5">
              <w:rPr>
                <w:rFonts w:ascii="Bookman Old Style" w:hAnsi="Bookman Old Style"/>
                <w:color w:val="595959" w:themeColor="text1" w:themeTint="A6"/>
              </w:rPr>
              <w:t xml:space="preserve">ieļaujamo nomedījamo </w:t>
            </w:r>
            <w:r w:rsidRPr="00260AF5">
              <w:rPr>
                <w:rFonts w:ascii="Bookman Old Style" w:hAnsi="Bookman Old Style"/>
                <w:color w:val="595959" w:themeColor="text1" w:themeTint="A6"/>
              </w:rPr>
              <w:t xml:space="preserve">dzīvnieku </w:t>
            </w:r>
            <w:r w:rsidR="00105F2D" w:rsidRPr="00260AF5">
              <w:rPr>
                <w:rFonts w:ascii="Bookman Old Style" w:hAnsi="Bookman Old Style"/>
                <w:color w:val="595959" w:themeColor="text1" w:themeTint="A6"/>
              </w:rPr>
              <w:t>apjomu</w:t>
            </w:r>
            <w:r w:rsidRPr="00260AF5">
              <w:rPr>
                <w:rFonts w:ascii="Bookman Old Style" w:hAnsi="Bookman Old Style"/>
                <w:color w:val="595959" w:themeColor="text1" w:themeTint="A6"/>
              </w:rPr>
              <w:t>, tomēr</w:t>
            </w:r>
            <w:r w:rsidR="00105F2D" w:rsidRPr="00260AF5">
              <w:rPr>
                <w:rFonts w:ascii="Bookman Old Style" w:hAnsi="Bookman Old Style"/>
                <w:color w:val="595959" w:themeColor="text1" w:themeTint="A6"/>
              </w:rPr>
              <w:t xml:space="preserve"> svarīgāks ir nomedīt</w:t>
            </w:r>
            <w:r w:rsidRPr="00260AF5">
              <w:rPr>
                <w:rFonts w:ascii="Bookman Old Style" w:hAnsi="Bookman Old Style"/>
                <w:color w:val="595959" w:themeColor="text1" w:themeTint="A6"/>
              </w:rPr>
              <w:t>o</w:t>
            </w:r>
            <w:r w:rsidR="00105F2D" w:rsidRPr="00260AF5">
              <w:rPr>
                <w:rFonts w:ascii="Bookman Old Style" w:hAnsi="Bookman Old Style"/>
                <w:color w:val="595959" w:themeColor="text1" w:themeTint="A6"/>
              </w:rPr>
              <w:t xml:space="preserve"> un bojā gājuš</w:t>
            </w:r>
            <w:r w:rsidRPr="00260AF5">
              <w:rPr>
                <w:rFonts w:ascii="Bookman Old Style" w:hAnsi="Bookman Old Style"/>
                <w:color w:val="595959" w:themeColor="text1" w:themeTint="A6"/>
              </w:rPr>
              <w:t xml:space="preserve">o </w:t>
            </w:r>
            <w:r w:rsidR="00D7286D" w:rsidRPr="00260AF5">
              <w:rPr>
                <w:rFonts w:ascii="Bookman Old Style" w:hAnsi="Bookman Old Style"/>
                <w:color w:val="595959" w:themeColor="text1" w:themeTint="A6"/>
              </w:rPr>
              <w:t>dzīvnieku</w:t>
            </w:r>
            <w:r w:rsidR="00105F2D" w:rsidRPr="00260AF5">
              <w:rPr>
                <w:rFonts w:ascii="Bookman Old Style" w:hAnsi="Bookman Old Style"/>
                <w:color w:val="595959" w:themeColor="text1" w:themeTint="A6"/>
              </w:rPr>
              <w:t xml:space="preserve"> apjoms iepriekšējā medību sezonā</w:t>
            </w:r>
            <w:r w:rsidR="00D7286D" w:rsidRPr="00260AF5">
              <w:rPr>
                <w:rFonts w:ascii="Bookman Old Style" w:hAnsi="Bookman Old Style"/>
                <w:color w:val="595959" w:themeColor="text1" w:themeTint="A6"/>
              </w:rPr>
              <w:t>, kā arī</w:t>
            </w:r>
            <w:r w:rsidR="00105F2D" w:rsidRPr="00260AF5">
              <w:rPr>
                <w:rFonts w:ascii="Bookman Old Style" w:hAnsi="Bookman Old Style"/>
                <w:color w:val="595959" w:themeColor="text1" w:themeTint="A6"/>
              </w:rPr>
              <w:t xml:space="preserve"> informācija par pārnadžu bojājumiem mežam un lauksaimniecības kultūrām. Ja atļautais nomedīšanas apjoms ir izlietots, </w:t>
            </w:r>
            <w:r w:rsidR="00D7286D" w:rsidRPr="00260AF5">
              <w:rPr>
                <w:rFonts w:ascii="Bookman Old Style" w:hAnsi="Bookman Old Style"/>
                <w:color w:val="595959" w:themeColor="text1" w:themeTint="A6"/>
              </w:rPr>
              <w:t xml:space="preserve">taču </w:t>
            </w:r>
            <w:r w:rsidR="00105F2D" w:rsidRPr="00260AF5">
              <w:rPr>
                <w:rFonts w:ascii="Bookman Old Style" w:hAnsi="Bookman Old Style"/>
                <w:color w:val="595959" w:themeColor="text1" w:themeTint="A6"/>
              </w:rPr>
              <w:t xml:space="preserve">dzīvnieku skaits palielinās  vai saglabājas un bojājumu apjoms mežam </w:t>
            </w:r>
            <w:r w:rsidR="00D7286D" w:rsidRPr="00260AF5">
              <w:rPr>
                <w:rFonts w:ascii="Bookman Old Style" w:hAnsi="Bookman Old Style"/>
                <w:color w:val="595959" w:themeColor="text1" w:themeTint="A6"/>
              </w:rPr>
              <w:t xml:space="preserve">un lauksaimniecības kultūrām </w:t>
            </w:r>
            <w:r w:rsidR="00105F2D" w:rsidRPr="00260AF5">
              <w:rPr>
                <w:rFonts w:ascii="Bookman Old Style" w:hAnsi="Bookman Old Style"/>
                <w:color w:val="595959" w:themeColor="text1" w:themeTint="A6"/>
              </w:rPr>
              <w:t xml:space="preserve">palielinās, tad </w:t>
            </w:r>
            <w:r w:rsidR="00D7286D" w:rsidRPr="00260AF5">
              <w:rPr>
                <w:rFonts w:ascii="Bookman Old Style" w:hAnsi="Bookman Old Style"/>
                <w:color w:val="595959" w:themeColor="text1" w:themeTint="A6"/>
              </w:rPr>
              <w:t>Valsts meža dienests palielina pieļaujamo nomedīšanas apjomu</w:t>
            </w:r>
            <w:r w:rsidR="00105F2D" w:rsidRPr="00260AF5">
              <w:rPr>
                <w:rFonts w:ascii="Bookman Old Style" w:hAnsi="Bookman Old Style"/>
                <w:color w:val="595959" w:themeColor="text1" w:themeTint="A6"/>
              </w:rPr>
              <w:t>. Var būt arī situācijas, kad dzīvnieku skaits samazinās,</w:t>
            </w:r>
            <w:r w:rsidR="00D7286D" w:rsidRPr="00260AF5">
              <w:rPr>
                <w:rFonts w:ascii="Bookman Old Style" w:hAnsi="Bookman Old Style"/>
                <w:color w:val="595959" w:themeColor="text1" w:themeTint="A6"/>
              </w:rPr>
              <w:t xml:space="preserve"> tomēr</w:t>
            </w:r>
            <w:r w:rsidR="00105F2D" w:rsidRPr="00260AF5">
              <w:rPr>
                <w:rFonts w:ascii="Bookman Old Style" w:hAnsi="Bookman Old Style"/>
                <w:color w:val="595959" w:themeColor="text1" w:themeTint="A6"/>
              </w:rPr>
              <w:t xml:space="preserve"> </w:t>
            </w:r>
            <w:r w:rsidR="00D7286D" w:rsidRPr="00260AF5">
              <w:rPr>
                <w:rFonts w:ascii="Bookman Old Style" w:hAnsi="Bookman Old Style"/>
                <w:color w:val="595959" w:themeColor="text1" w:themeTint="A6"/>
              </w:rPr>
              <w:t>pieļaujamais nomedīšanas apjoms</w:t>
            </w:r>
            <w:r w:rsidR="00105F2D" w:rsidRPr="00260AF5">
              <w:rPr>
                <w:rFonts w:ascii="Bookman Old Style" w:hAnsi="Bookman Old Style"/>
                <w:color w:val="595959" w:themeColor="text1" w:themeTint="A6"/>
              </w:rPr>
              <w:t xml:space="preserve"> jāpalielina, jo meža īpašnieku </w:t>
            </w:r>
            <w:r w:rsidR="00D7286D" w:rsidRPr="00260AF5">
              <w:rPr>
                <w:rFonts w:ascii="Bookman Old Style" w:hAnsi="Bookman Old Style"/>
                <w:color w:val="595959" w:themeColor="text1" w:themeTint="A6"/>
              </w:rPr>
              <w:t>vai lauksaimnieku sniegtā</w:t>
            </w:r>
            <w:r w:rsidR="00105F2D" w:rsidRPr="00260AF5">
              <w:rPr>
                <w:rFonts w:ascii="Bookman Old Style" w:hAnsi="Bookman Old Style"/>
                <w:color w:val="595959" w:themeColor="text1" w:themeTint="A6"/>
              </w:rPr>
              <w:t xml:space="preserve"> informācija par konstatētajiem pārnadžu postījumiem apliecina  bojājumu apjoma pieaugumu</w:t>
            </w:r>
            <w:r w:rsidR="00D7286D" w:rsidRPr="00260AF5">
              <w:rPr>
                <w:rFonts w:ascii="Bookman Old Style" w:hAnsi="Bookman Old Style"/>
                <w:color w:val="595959" w:themeColor="text1" w:themeTint="A6"/>
              </w:rPr>
              <w:t>, lai arī īpašnieks ir veicis nepieciešamos aizsardzības pasākumus</w:t>
            </w:r>
            <w:r w:rsidR="00105F2D" w:rsidRPr="00260AF5">
              <w:rPr>
                <w:rFonts w:ascii="Bookman Old Style" w:hAnsi="Bookman Old Style"/>
                <w:color w:val="595959" w:themeColor="text1" w:themeTint="A6"/>
              </w:rPr>
              <w:t>.</w:t>
            </w:r>
            <w:r w:rsidR="0013510D">
              <w:rPr>
                <w:rFonts w:ascii="Bookman Old Style" w:hAnsi="Bookman Old Style"/>
                <w:color w:val="595959" w:themeColor="text1" w:themeTint="A6"/>
              </w:rPr>
              <w:t xml:space="preserve"> </w:t>
            </w:r>
          </w:p>
          <w:p w14:paraId="590CA51C" w14:textId="2DEF8D36" w:rsidR="00F67AF3" w:rsidRPr="00260AF5" w:rsidRDefault="00105F2D" w:rsidP="0013510D">
            <w:pPr>
              <w:jc w:val="both"/>
              <w:rPr>
                <w:rFonts w:ascii="Bookman Old Style" w:hAnsi="Bookman Old Style"/>
                <w:color w:val="595959" w:themeColor="text1" w:themeTint="A6"/>
              </w:rPr>
            </w:pPr>
            <w:r w:rsidRPr="00260AF5">
              <w:rPr>
                <w:rFonts w:ascii="Bookman Old Style" w:hAnsi="Bookman Old Style"/>
                <w:color w:val="595959" w:themeColor="text1" w:themeTint="A6"/>
              </w:rPr>
              <w:t xml:space="preserve"> </w:t>
            </w:r>
          </w:p>
        </w:tc>
      </w:tr>
      <w:tr w:rsidR="00260AF5" w:rsidRPr="00260AF5" w14:paraId="322824D5" w14:textId="77777777" w:rsidTr="00A310CB">
        <w:tc>
          <w:tcPr>
            <w:tcW w:w="652" w:type="dxa"/>
          </w:tcPr>
          <w:p w14:paraId="57DE5E8E" w14:textId="01356C6D" w:rsidR="00F67AF3" w:rsidRPr="00260AF5" w:rsidRDefault="00F67AF3" w:rsidP="00F67AF3">
            <w:pPr>
              <w:jc w:val="center"/>
              <w:rPr>
                <w:rFonts w:ascii="Bookman Old Style" w:hAnsi="Bookman Old Style"/>
                <w:color w:val="595959" w:themeColor="text1" w:themeTint="A6"/>
              </w:rPr>
            </w:pPr>
            <w:r w:rsidRPr="00260AF5">
              <w:rPr>
                <w:rFonts w:ascii="Bookman Old Style" w:hAnsi="Bookman Old Style"/>
                <w:color w:val="595959" w:themeColor="text1" w:themeTint="A6"/>
              </w:rPr>
              <w:t>5.</w:t>
            </w:r>
          </w:p>
        </w:tc>
        <w:tc>
          <w:tcPr>
            <w:tcW w:w="3171" w:type="dxa"/>
          </w:tcPr>
          <w:p w14:paraId="24BCE7CA" w14:textId="1993C2B9" w:rsidR="001B59F3" w:rsidRPr="0013510D" w:rsidRDefault="001B59F3" w:rsidP="001B59F3">
            <w:pPr>
              <w:pStyle w:val="NormalWeb"/>
              <w:rPr>
                <w:rFonts w:ascii="Bookman Old Style" w:hAnsi="Bookman Old Style"/>
                <w:color w:val="595959" w:themeColor="text1" w:themeTint="A6"/>
              </w:rPr>
            </w:pPr>
            <w:r w:rsidRPr="0013510D">
              <w:rPr>
                <w:rFonts w:ascii="Bookman Old Style" w:hAnsi="Bookman Old Style"/>
                <w:color w:val="595959" w:themeColor="text1" w:themeTint="A6"/>
              </w:rPr>
              <w:t xml:space="preserve">Lielo dzīvnieku populācija kāpj jau 20 gadus!!! Vai tiešām vēl nav pietiekami daudz informācijas, lai </w:t>
            </w:r>
            <w:r w:rsidRPr="0013510D">
              <w:rPr>
                <w:rFonts w:ascii="Bookman Old Style" w:hAnsi="Bookman Old Style"/>
                <w:color w:val="595959" w:themeColor="text1" w:themeTint="A6"/>
              </w:rPr>
              <w:lastRenderedPageBreak/>
              <w:t>izsniegtu nepieciešamo licenču skaitu dzīvnieku ierobežošanai. VMD izsniedz jau 20 gadus licences mazāk nekā ir populācijas pieaugums!!!</w:t>
            </w:r>
          </w:p>
          <w:p w14:paraId="08DE6553" w14:textId="77777777" w:rsidR="00F67AF3" w:rsidRPr="0013510D" w:rsidRDefault="00F67AF3">
            <w:pPr>
              <w:rPr>
                <w:rFonts w:ascii="Bookman Old Style" w:hAnsi="Bookman Old Style"/>
                <w:color w:val="595959" w:themeColor="text1" w:themeTint="A6"/>
              </w:rPr>
            </w:pPr>
          </w:p>
        </w:tc>
        <w:tc>
          <w:tcPr>
            <w:tcW w:w="10125" w:type="dxa"/>
          </w:tcPr>
          <w:p w14:paraId="56E1DEAB" w14:textId="7D46A0CD" w:rsidR="00F67AF3" w:rsidRPr="00260AF5" w:rsidRDefault="00637008">
            <w:pPr>
              <w:rPr>
                <w:rFonts w:ascii="Bookman Old Style" w:hAnsi="Bookman Old Style"/>
                <w:color w:val="595959" w:themeColor="text1" w:themeTint="A6"/>
              </w:rPr>
            </w:pPr>
            <w:r w:rsidRPr="00260AF5">
              <w:rPr>
                <w:rFonts w:ascii="Bookman Old Style" w:hAnsi="Bookman Old Style"/>
                <w:color w:val="595959" w:themeColor="text1" w:themeTint="A6"/>
              </w:rPr>
              <w:lastRenderedPageBreak/>
              <w:t xml:space="preserve">Valsts meža dienests nosaka pieļaujamo nomedīšanas apjomu, lēmuma pieņemšanā līdzdarbojoties gan medību tiesību īpašniekiem, gan medību tiesību lietotājiem. Ja </w:t>
            </w:r>
            <w:r w:rsidR="00846744" w:rsidRPr="00260AF5">
              <w:rPr>
                <w:rFonts w:ascii="Bookman Old Style" w:hAnsi="Bookman Old Style"/>
                <w:color w:val="595959" w:themeColor="text1" w:themeTint="A6"/>
              </w:rPr>
              <w:t xml:space="preserve">pieejamie dati liecina, ka pieaug dzīvnieku nodarīto postījumu apjomi, tad attiecīgā dzīvnieku populācija ir jāierobežo, nosakot par populācijas pieaugumu lielāku pieļaujamo </w:t>
            </w:r>
            <w:r w:rsidR="00846744" w:rsidRPr="00260AF5">
              <w:rPr>
                <w:rFonts w:ascii="Bookman Old Style" w:hAnsi="Bookman Old Style"/>
                <w:color w:val="595959" w:themeColor="text1" w:themeTint="A6"/>
              </w:rPr>
              <w:lastRenderedPageBreak/>
              <w:t>nomedīšanas apjomu. K</w:t>
            </w:r>
            <w:r w:rsidRPr="00260AF5">
              <w:rPr>
                <w:rFonts w:ascii="Bookman Old Style" w:hAnsi="Bookman Old Style"/>
                <w:color w:val="595959" w:themeColor="text1" w:themeTint="A6"/>
              </w:rPr>
              <w:t>opējā V</w:t>
            </w:r>
            <w:r w:rsidR="00846744" w:rsidRPr="00260AF5">
              <w:rPr>
                <w:rFonts w:ascii="Bookman Old Style" w:hAnsi="Bookman Old Style"/>
                <w:color w:val="595959" w:themeColor="text1" w:themeTint="A6"/>
              </w:rPr>
              <w:t>alsts meža dienesta</w:t>
            </w:r>
            <w:r w:rsidRPr="00260AF5">
              <w:rPr>
                <w:rFonts w:ascii="Bookman Old Style" w:hAnsi="Bookman Old Style"/>
                <w:color w:val="595959" w:themeColor="text1" w:themeTint="A6"/>
              </w:rPr>
              <w:t xml:space="preserve"> noteiktā pieļaujamā nomedīšanas apjoma neizmantošana </w:t>
            </w:r>
            <w:r w:rsidR="00846744" w:rsidRPr="00260AF5">
              <w:rPr>
                <w:rFonts w:ascii="Bookman Old Style" w:hAnsi="Bookman Old Style"/>
                <w:color w:val="595959" w:themeColor="text1" w:themeTint="A6"/>
              </w:rPr>
              <w:t xml:space="preserve">(t.i., nomedī mazāk nekā ir atļauts) </w:t>
            </w:r>
            <w:r w:rsidRPr="00260AF5">
              <w:rPr>
                <w:rFonts w:ascii="Bookman Old Style" w:hAnsi="Bookman Old Style"/>
                <w:color w:val="595959" w:themeColor="text1" w:themeTint="A6"/>
              </w:rPr>
              <w:t xml:space="preserve">arī var </w:t>
            </w:r>
            <w:r w:rsidR="00846744" w:rsidRPr="00260AF5">
              <w:rPr>
                <w:rFonts w:ascii="Bookman Old Style" w:hAnsi="Bookman Old Style"/>
                <w:color w:val="595959" w:themeColor="text1" w:themeTint="A6"/>
              </w:rPr>
              <w:t>veicināt</w:t>
            </w:r>
            <w:r w:rsidRPr="00260AF5">
              <w:rPr>
                <w:rFonts w:ascii="Bookman Old Style" w:hAnsi="Bookman Old Style"/>
                <w:color w:val="595959" w:themeColor="text1" w:themeTint="A6"/>
              </w:rPr>
              <w:t xml:space="preserve"> populāciju pie</w:t>
            </w:r>
            <w:r w:rsidR="00260AF5" w:rsidRPr="00260AF5">
              <w:rPr>
                <w:rFonts w:ascii="Bookman Old Style" w:hAnsi="Bookman Old Style"/>
                <w:color w:val="595959" w:themeColor="text1" w:themeTint="A6"/>
              </w:rPr>
              <w:t>au</w:t>
            </w:r>
            <w:r w:rsidRPr="00260AF5">
              <w:rPr>
                <w:rFonts w:ascii="Bookman Old Style" w:hAnsi="Bookman Old Style"/>
                <w:color w:val="595959" w:themeColor="text1" w:themeTint="A6"/>
              </w:rPr>
              <w:t>gum</w:t>
            </w:r>
            <w:r w:rsidR="00846744" w:rsidRPr="00260AF5">
              <w:rPr>
                <w:rFonts w:ascii="Bookman Old Style" w:hAnsi="Bookman Old Style"/>
                <w:color w:val="595959" w:themeColor="text1" w:themeTint="A6"/>
              </w:rPr>
              <w:t>u</w:t>
            </w:r>
            <w:r w:rsidRPr="00260AF5">
              <w:rPr>
                <w:rFonts w:ascii="Bookman Old Style" w:hAnsi="Bookman Old Style"/>
                <w:color w:val="595959" w:themeColor="text1" w:themeTint="A6"/>
              </w:rPr>
              <w:t xml:space="preserve">. Pārnadžu populāciju apjomi </w:t>
            </w:r>
            <w:r w:rsidR="00260AF5" w:rsidRPr="00260AF5">
              <w:rPr>
                <w:rFonts w:ascii="Bookman Old Style" w:hAnsi="Bookman Old Style"/>
                <w:color w:val="595959" w:themeColor="text1" w:themeTint="A6"/>
              </w:rPr>
              <w:t xml:space="preserve">un to ietekme uz mežkopību un lauksaimniecību </w:t>
            </w:r>
            <w:r w:rsidRPr="00260AF5">
              <w:rPr>
                <w:rFonts w:ascii="Bookman Old Style" w:hAnsi="Bookman Old Style"/>
                <w:color w:val="595959" w:themeColor="text1" w:themeTint="A6"/>
              </w:rPr>
              <w:t xml:space="preserve">dažādos Latvijas reģionos </w:t>
            </w:r>
            <w:r w:rsidR="00846744" w:rsidRPr="00260AF5">
              <w:rPr>
                <w:rFonts w:ascii="Bookman Old Style" w:hAnsi="Bookman Old Style"/>
                <w:color w:val="595959" w:themeColor="text1" w:themeTint="A6"/>
              </w:rPr>
              <w:t>atšķiras,</w:t>
            </w:r>
            <w:r w:rsidRPr="00260AF5">
              <w:rPr>
                <w:rFonts w:ascii="Bookman Old Style" w:hAnsi="Bookman Old Style"/>
                <w:color w:val="595959" w:themeColor="text1" w:themeTint="A6"/>
              </w:rPr>
              <w:t xml:space="preserve"> līdz ar to </w:t>
            </w:r>
            <w:r w:rsidR="00260AF5" w:rsidRPr="00260AF5">
              <w:rPr>
                <w:rFonts w:ascii="Bookman Old Style" w:hAnsi="Bookman Old Style"/>
                <w:color w:val="595959" w:themeColor="text1" w:themeTint="A6"/>
              </w:rPr>
              <w:t>ir atšķirīgi pieļaujamie nomedīšanas apjomi katrā reģionā</w:t>
            </w:r>
            <w:r w:rsidRPr="00260AF5">
              <w:rPr>
                <w:rFonts w:ascii="Bookman Old Style" w:hAnsi="Bookman Old Style"/>
                <w:color w:val="595959" w:themeColor="text1" w:themeTint="A6"/>
              </w:rPr>
              <w:t>.</w:t>
            </w:r>
            <w:r w:rsidR="00260AF5" w:rsidRPr="00260AF5">
              <w:rPr>
                <w:rFonts w:ascii="Bookman Old Style" w:hAnsi="Bookman Old Style"/>
                <w:color w:val="595959" w:themeColor="text1" w:themeTint="A6"/>
              </w:rPr>
              <w:t xml:space="preserve"> Lai Valsts meža dienests pieņemtu faktiskajai situācijai atbilstošus </w:t>
            </w:r>
            <w:r w:rsidR="0013510D">
              <w:rPr>
                <w:rFonts w:ascii="Bookman Old Style" w:hAnsi="Bookman Old Style"/>
                <w:color w:val="595959" w:themeColor="text1" w:themeTint="A6"/>
              </w:rPr>
              <w:t xml:space="preserve">un </w:t>
            </w:r>
            <w:r w:rsidR="00260AF5" w:rsidRPr="00260AF5">
              <w:rPr>
                <w:rFonts w:ascii="Bookman Old Style" w:hAnsi="Bookman Old Style"/>
                <w:color w:val="595959" w:themeColor="text1" w:themeTint="A6"/>
              </w:rPr>
              <w:t>datos balstītus lēmumus, sagaidām no meža īpašniekiem un lauksaimniekiem iespējami pilnīgāku informāciju par konstatētajiem dzīvnieku nodarītajiem postījumiem.</w:t>
            </w:r>
          </w:p>
        </w:tc>
      </w:tr>
    </w:tbl>
    <w:p w14:paraId="250859B2" w14:textId="7922217A" w:rsidR="007B51B1" w:rsidRDefault="007B51B1">
      <w:pPr>
        <w:rPr>
          <w:rFonts w:ascii="Bookman Old Style" w:hAnsi="Bookman Old Style"/>
          <w:color w:val="595959" w:themeColor="text1" w:themeTint="A6"/>
        </w:rPr>
      </w:pPr>
    </w:p>
    <w:p w14:paraId="2D6B2D8C" w14:textId="6EE12749" w:rsidR="00294B85" w:rsidRPr="00294B85" w:rsidRDefault="00294B85">
      <w:pPr>
        <w:rPr>
          <w:rFonts w:ascii="Bookman Old Style" w:hAnsi="Bookman Old Style"/>
          <w:b/>
          <w:color w:val="595959" w:themeColor="text1" w:themeTint="A6"/>
        </w:rPr>
      </w:pPr>
      <w:r w:rsidRPr="00294B85">
        <w:rPr>
          <w:rFonts w:ascii="Bookman Old Style" w:hAnsi="Bookman Old Style"/>
          <w:b/>
          <w:color w:val="595959" w:themeColor="text1" w:themeTint="A6"/>
        </w:rPr>
        <w:t>Atbildes sagatavoja Valsts meža dienests.</w:t>
      </w:r>
      <w:bookmarkStart w:id="0" w:name="_GoBack"/>
      <w:bookmarkEnd w:id="0"/>
    </w:p>
    <w:sectPr w:rsidR="00294B85" w:rsidRPr="00294B85" w:rsidSect="00F67AF3">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F3"/>
    <w:rsid w:val="00025627"/>
    <w:rsid w:val="00105F2D"/>
    <w:rsid w:val="0013510D"/>
    <w:rsid w:val="001B59F3"/>
    <w:rsid w:val="00260AF5"/>
    <w:rsid w:val="00294B85"/>
    <w:rsid w:val="0032371C"/>
    <w:rsid w:val="00346D6E"/>
    <w:rsid w:val="00386651"/>
    <w:rsid w:val="00637008"/>
    <w:rsid w:val="00706378"/>
    <w:rsid w:val="007955FE"/>
    <w:rsid w:val="007B51B1"/>
    <w:rsid w:val="007E65EF"/>
    <w:rsid w:val="00846744"/>
    <w:rsid w:val="009848A3"/>
    <w:rsid w:val="00A310CB"/>
    <w:rsid w:val="00AC2643"/>
    <w:rsid w:val="00D7286D"/>
    <w:rsid w:val="00E0005B"/>
    <w:rsid w:val="00ED1A6B"/>
    <w:rsid w:val="00F67AF3"/>
    <w:rsid w:val="00F970BB"/>
    <w:rsid w:val="00FC77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D7BB"/>
  <w15:chartTrackingRefBased/>
  <w15:docId w15:val="{9A0FBBE1-DC7C-4051-9D9B-4FE67C4F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67A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67AF3"/>
    <w:pPr>
      <w:spacing w:before="100" w:beforeAutospacing="1" w:after="100" w:afterAutospacing="1" w:line="240" w:lineRule="auto"/>
    </w:pPr>
    <w:rPr>
      <w:rFonts w:ascii="Calibri" w:hAnsi="Calibri" w:cs="Calibri"/>
      <w:lang w:eastAsia="lv-LV"/>
    </w:rPr>
  </w:style>
  <w:style w:type="paragraph" w:styleId="NoSpacing">
    <w:name w:val="No Spacing"/>
    <w:uiPriority w:val="1"/>
    <w:qFormat/>
    <w:rsid w:val="00FC7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207">
      <w:bodyDiv w:val="1"/>
      <w:marLeft w:val="0"/>
      <w:marRight w:val="0"/>
      <w:marTop w:val="0"/>
      <w:marBottom w:val="0"/>
      <w:divBdr>
        <w:top w:val="none" w:sz="0" w:space="0" w:color="auto"/>
        <w:left w:val="none" w:sz="0" w:space="0" w:color="auto"/>
        <w:bottom w:val="none" w:sz="0" w:space="0" w:color="auto"/>
        <w:right w:val="none" w:sz="0" w:space="0" w:color="auto"/>
      </w:divBdr>
    </w:div>
    <w:div w:id="143007861">
      <w:bodyDiv w:val="1"/>
      <w:marLeft w:val="0"/>
      <w:marRight w:val="0"/>
      <w:marTop w:val="0"/>
      <w:marBottom w:val="0"/>
      <w:divBdr>
        <w:top w:val="none" w:sz="0" w:space="0" w:color="auto"/>
        <w:left w:val="none" w:sz="0" w:space="0" w:color="auto"/>
        <w:bottom w:val="none" w:sz="0" w:space="0" w:color="auto"/>
        <w:right w:val="none" w:sz="0" w:space="0" w:color="auto"/>
      </w:divBdr>
    </w:div>
    <w:div w:id="605308535">
      <w:bodyDiv w:val="1"/>
      <w:marLeft w:val="0"/>
      <w:marRight w:val="0"/>
      <w:marTop w:val="0"/>
      <w:marBottom w:val="0"/>
      <w:divBdr>
        <w:top w:val="none" w:sz="0" w:space="0" w:color="auto"/>
        <w:left w:val="none" w:sz="0" w:space="0" w:color="auto"/>
        <w:bottom w:val="none" w:sz="0" w:space="0" w:color="auto"/>
        <w:right w:val="none" w:sz="0" w:space="0" w:color="auto"/>
      </w:divBdr>
    </w:div>
    <w:div w:id="1553155918">
      <w:bodyDiv w:val="1"/>
      <w:marLeft w:val="0"/>
      <w:marRight w:val="0"/>
      <w:marTop w:val="0"/>
      <w:marBottom w:val="0"/>
      <w:divBdr>
        <w:top w:val="none" w:sz="0" w:space="0" w:color="auto"/>
        <w:left w:val="none" w:sz="0" w:space="0" w:color="auto"/>
        <w:bottom w:val="none" w:sz="0" w:space="0" w:color="auto"/>
        <w:right w:val="none" w:sz="0" w:space="0" w:color="auto"/>
      </w:divBdr>
    </w:div>
    <w:div w:id="1617327941">
      <w:bodyDiv w:val="1"/>
      <w:marLeft w:val="0"/>
      <w:marRight w:val="0"/>
      <w:marTop w:val="0"/>
      <w:marBottom w:val="0"/>
      <w:divBdr>
        <w:top w:val="none" w:sz="0" w:space="0" w:color="auto"/>
        <w:left w:val="none" w:sz="0" w:space="0" w:color="auto"/>
        <w:bottom w:val="none" w:sz="0" w:space="0" w:color="auto"/>
        <w:right w:val="none" w:sz="0" w:space="0" w:color="auto"/>
      </w:divBdr>
    </w:div>
    <w:div w:id="213355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3955</Words>
  <Characters>2255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Stašāne</dc:creator>
  <cp:keywords/>
  <dc:description/>
  <cp:lastModifiedBy>Olga Šteinberga</cp:lastModifiedBy>
  <cp:revision>3</cp:revision>
  <dcterms:created xsi:type="dcterms:W3CDTF">2020-12-04T08:42:00Z</dcterms:created>
  <dcterms:modified xsi:type="dcterms:W3CDTF">2020-12-04T08:42:00Z</dcterms:modified>
</cp:coreProperties>
</file>